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94C9" w14:textId="30027D52" w:rsidR="005F4D98" w:rsidRPr="005D4DF9" w:rsidRDefault="00473484" w:rsidP="00B07FB9">
      <w:pPr>
        <w:jc w:val="center"/>
        <w:rPr>
          <w:rFonts w:ascii="Book Antiqua" w:hAnsi="Book Antiqua"/>
          <w:b/>
          <w:sz w:val="20"/>
          <w:szCs w:val="20"/>
          <w:u w:val="single"/>
        </w:rPr>
      </w:pPr>
      <w:r>
        <w:rPr>
          <w:rFonts w:ascii="Book Antiqua" w:hAnsi="Book Antiqua"/>
          <w:b/>
          <w:sz w:val="20"/>
          <w:szCs w:val="20"/>
          <w:u w:val="single"/>
        </w:rPr>
        <w:t xml:space="preserve">Webinar: Foreign </w:t>
      </w:r>
      <w:r w:rsidR="0027675E">
        <w:rPr>
          <w:rFonts w:ascii="Book Antiqua" w:hAnsi="Book Antiqua"/>
          <w:b/>
          <w:sz w:val="20"/>
          <w:szCs w:val="20"/>
          <w:u w:val="single"/>
        </w:rPr>
        <w:t>d</w:t>
      </w:r>
      <w:r>
        <w:rPr>
          <w:rFonts w:ascii="Book Antiqua" w:hAnsi="Book Antiqua"/>
          <w:b/>
          <w:sz w:val="20"/>
          <w:szCs w:val="20"/>
          <w:u w:val="single"/>
        </w:rPr>
        <w:t xml:space="preserve">irect </w:t>
      </w:r>
      <w:r w:rsidR="0027675E">
        <w:rPr>
          <w:rFonts w:ascii="Book Antiqua" w:hAnsi="Book Antiqua"/>
          <w:b/>
          <w:sz w:val="20"/>
          <w:szCs w:val="20"/>
          <w:u w:val="single"/>
        </w:rPr>
        <w:t>i</w:t>
      </w:r>
      <w:r>
        <w:rPr>
          <w:rFonts w:ascii="Book Antiqua" w:hAnsi="Book Antiqua"/>
          <w:b/>
          <w:sz w:val="20"/>
          <w:szCs w:val="20"/>
          <w:u w:val="single"/>
        </w:rPr>
        <w:t>nvestment in Germany and the investor status of the UK</w:t>
      </w:r>
    </w:p>
    <w:p w14:paraId="591CCD5C" w14:textId="77777777" w:rsidR="00B07FB9" w:rsidRPr="005D4DF9" w:rsidRDefault="00B07FB9" w:rsidP="00B07FB9">
      <w:pPr>
        <w:jc w:val="center"/>
        <w:rPr>
          <w:rFonts w:ascii="Book Antiqua" w:hAnsi="Book Antiqua"/>
          <w:b/>
          <w:sz w:val="20"/>
          <w:szCs w:val="20"/>
          <w:u w:val="single"/>
        </w:rPr>
      </w:pPr>
    </w:p>
    <w:p w14:paraId="624AAC4C" w14:textId="77777777" w:rsidR="00914824" w:rsidRPr="005D4DF9" w:rsidRDefault="00914824" w:rsidP="00B07FB9">
      <w:pPr>
        <w:rPr>
          <w:rFonts w:ascii="Book Antiqua" w:hAnsi="Book Antiqua"/>
          <w:b/>
          <w:sz w:val="20"/>
          <w:szCs w:val="20"/>
          <w:u w:val="single"/>
        </w:rPr>
      </w:pPr>
    </w:p>
    <w:p w14:paraId="25A9A064" w14:textId="6A8E7BB1" w:rsidR="009057E9" w:rsidRDefault="00B07FB9" w:rsidP="00B07FB9">
      <w:pPr>
        <w:spacing w:before="240" w:after="240" w:line="276" w:lineRule="auto"/>
        <w:jc w:val="both"/>
        <w:rPr>
          <w:rFonts w:ascii="Book Antiqua" w:hAnsi="Book Antiqua"/>
          <w:sz w:val="20"/>
          <w:szCs w:val="20"/>
        </w:rPr>
      </w:pPr>
      <w:r w:rsidRPr="005D4DF9">
        <w:rPr>
          <w:rFonts w:ascii="Book Antiqua" w:hAnsi="Book Antiqua"/>
          <w:b/>
          <w:bCs/>
          <w:sz w:val="20"/>
          <w:szCs w:val="20"/>
        </w:rPr>
        <w:t>Topic</w:t>
      </w:r>
      <w:r w:rsidRPr="005D4DF9">
        <w:rPr>
          <w:rFonts w:ascii="Book Antiqua" w:hAnsi="Book Antiqua"/>
          <w:sz w:val="20"/>
          <w:szCs w:val="20"/>
        </w:rPr>
        <w:t xml:space="preserve">: </w:t>
      </w:r>
      <w:r w:rsidR="009057E9">
        <w:rPr>
          <w:rFonts w:ascii="Book Antiqua" w:hAnsi="Book Antiqua"/>
          <w:sz w:val="20"/>
          <w:szCs w:val="20"/>
        </w:rPr>
        <w:t>The regulation of f</w:t>
      </w:r>
      <w:r w:rsidRPr="005D4DF9">
        <w:rPr>
          <w:rFonts w:ascii="Book Antiqua" w:hAnsi="Book Antiqua"/>
          <w:sz w:val="20"/>
          <w:szCs w:val="20"/>
        </w:rPr>
        <w:t xml:space="preserve">oreign direct investment </w:t>
      </w:r>
      <w:r w:rsidR="009057E9">
        <w:rPr>
          <w:rFonts w:ascii="Book Antiqua" w:hAnsi="Book Antiqua"/>
          <w:sz w:val="20"/>
          <w:szCs w:val="20"/>
        </w:rPr>
        <w:t xml:space="preserve">in Germany and the investor status of the United Kingdom during the Brexit transition period </w:t>
      </w:r>
    </w:p>
    <w:p w14:paraId="4BC02EDF" w14:textId="46E6F159" w:rsidR="009057E9" w:rsidRPr="009057E9" w:rsidRDefault="009057E9" w:rsidP="009057E9">
      <w:pPr>
        <w:spacing w:before="240" w:after="240" w:line="276" w:lineRule="auto"/>
        <w:jc w:val="both"/>
        <w:rPr>
          <w:rFonts w:ascii="Book Antiqua" w:hAnsi="Book Antiqua"/>
          <w:sz w:val="20"/>
          <w:szCs w:val="20"/>
        </w:rPr>
      </w:pPr>
      <w:r w:rsidRPr="0027675E">
        <w:rPr>
          <w:rFonts w:ascii="Book Antiqua" w:hAnsi="Book Antiqua"/>
          <w:b/>
          <w:bCs/>
          <w:sz w:val="20"/>
          <w:szCs w:val="20"/>
        </w:rPr>
        <w:t>Speakers</w:t>
      </w:r>
      <w:r w:rsidRPr="009057E9">
        <w:rPr>
          <w:rFonts w:ascii="Book Antiqua" w:hAnsi="Book Antiqua"/>
          <w:sz w:val="20"/>
          <w:szCs w:val="20"/>
        </w:rPr>
        <w:t xml:space="preserve">: </w:t>
      </w:r>
    </w:p>
    <w:p w14:paraId="24C5BFA5" w14:textId="08C64659" w:rsidR="009057E9" w:rsidRDefault="009057E9" w:rsidP="009057E9">
      <w:pPr>
        <w:pStyle w:val="ListParagraph"/>
        <w:numPr>
          <w:ilvl w:val="0"/>
          <w:numId w:val="2"/>
        </w:numPr>
        <w:spacing w:before="240" w:after="240" w:line="276" w:lineRule="auto"/>
        <w:jc w:val="both"/>
        <w:rPr>
          <w:rFonts w:ascii="Book Antiqua" w:hAnsi="Book Antiqua"/>
          <w:sz w:val="20"/>
          <w:szCs w:val="20"/>
        </w:rPr>
      </w:pPr>
      <w:r>
        <w:rPr>
          <w:rFonts w:ascii="Book Antiqua" w:hAnsi="Book Antiqua"/>
          <w:sz w:val="20"/>
          <w:szCs w:val="20"/>
        </w:rPr>
        <w:t xml:space="preserve">Oliver </w:t>
      </w:r>
      <w:proofErr w:type="spellStart"/>
      <w:r>
        <w:rPr>
          <w:rFonts w:ascii="Book Antiqua" w:hAnsi="Book Antiqua"/>
          <w:sz w:val="20"/>
          <w:szCs w:val="20"/>
        </w:rPr>
        <w:t>Bretz</w:t>
      </w:r>
      <w:proofErr w:type="spellEnd"/>
      <w:r>
        <w:rPr>
          <w:rFonts w:ascii="Book Antiqua" w:hAnsi="Book Antiqua"/>
          <w:sz w:val="20"/>
          <w:szCs w:val="20"/>
        </w:rPr>
        <w:t xml:space="preserve"> – Partner, Euclid Law</w:t>
      </w:r>
    </w:p>
    <w:p w14:paraId="3CF5AFCB" w14:textId="4037B0EE" w:rsidR="00B63A48" w:rsidRPr="009057E9" w:rsidRDefault="009057E9" w:rsidP="009057E9">
      <w:pPr>
        <w:pStyle w:val="ListParagraph"/>
        <w:numPr>
          <w:ilvl w:val="0"/>
          <w:numId w:val="2"/>
        </w:numPr>
        <w:spacing w:before="240" w:after="240" w:line="276" w:lineRule="auto"/>
        <w:jc w:val="both"/>
        <w:rPr>
          <w:rFonts w:ascii="Book Antiqua" w:hAnsi="Book Antiqua"/>
          <w:sz w:val="20"/>
          <w:szCs w:val="20"/>
        </w:rPr>
      </w:pPr>
      <w:r>
        <w:rPr>
          <w:rFonts w:ascii="Book Antiqua" w:hAnsi="Book Antiqua"/>
          <w:sz w:val="20"/>
          <w:szCs w:val="20"/>
        </w:rPr>
        <w:t xml:space="preserve">Dimitri </w:t>
      </w:r>
      <w:proofErr w:type="spellStart"/>
      <w:r>
        <w:rPr>
          <w:rFonts w:ascii="Book Antiqua" w:hAnsi="Book Antiqua"/>
          <w:sz w:val="20"/>
          <w:szCs w:val="20"/>
        </w:rPr>
        <w:t>Slobodenjuk</w:t>
      </w:r>
      <w:proofErr w:type="spellEnd"/>
      <w:r>
        <w:rPr>
          <w:rFonts w:ascii="Book Antiqua" w:hAnsi="Book Antiqua"/>
          <w:sz w:val="20"/>
          <w:szCs w:val="20"/>
        </w:rPr>
        <w:t xml:space="preserve"> – Counsel, Clifford Chance D</w:t>
      </w:r>
      <w:r w:rsidRPr="009057E9">
        <w:rPr>
          <w:rFonts w:ascii="Book Antiqua" w:hAnsi="Book Antiqua"/>
          <w:sz w:val="20"/>
          <w:szCs w:val="20"/>
        </w:rPr>
        <w:t>üsseldorf</w:t>
      </w:r>
    </w:p>
    <w:p w14:paraId="7FD5B9E4" w14:textId="0D49A23E" w:rsidR="009057E9" w:rsidRDefault="009057E9" w:rsidP="00CF07AF">
      <w:pPr>
        <w:spacing w:before="240" w:after="240" w:line="276" w:lineRule="auto"/>
        <w:jc w:val="both"/>
        <w:rPr>
          <w:rFonts w:ascii="Book Antiqua" w:hAnsi="Book Antiqua"/>
          <w:b/>
          <w:bCs/>
          <w:sz w:val="20"/>
          <w:szCs w:val="20"/>
        </w:rPr>
      </w:pPr>
      <w:r>
        <w:rPr>
          <w:rFonts w:ascii="Book Antiqua" w:hAnsi="Book Antiqua"/>
          <w:b/>
          <w:bCs/>
          <w:sz w:val="20"/>
          <w:szCs w:val="20"/>
        </w:rPr>
        <w:t xml:space="preserve">The regulation of foreign direct investment in Germany </w:t>
      </w:r>
    </w:p>
    <w:p w14:paraId="0B248984" w14:textId="0832FD10" w:rsidR="00182B6D" w:rsidRPr="00182B6D" w:rsidRDefault="00E10D6A" w:rsidP="00182B6D">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In the second of the monthly discussions on foreign direct investment (“</w:t>
      </w:r>
      <w:r w:rsidRPr="00E10D6A">
        <w:rPr>
          <w:rFonts w:ascii="Book Antiqua" w:hAnsi="Book Antiqua"/>
          <w:b/>
          <w:bCs/>
          <w:sz w:val="20"/>
          <w:szCs w:val="20"/>
        </w:rPr>
        <w:t>FDI</w:t>
      </w:r>
      <w:r>
        <w:rPr>
          <w:rFonts w:ascii="Book Antiqua" w:hAnsi="Book Antiqua"/>
          <w:sz w:val="20"/>
          <w:szCs w:val="20"/>
        </w:rPr>
        <w:t xml:space="preserve">”) hosted by Oliver, Dimitri </w:t>
      </w:r>
      <w:proofErr w:type="spellStart"/>
      <w:r>
        <w:rPr>
          <w:rFonts w:ascii="Book Antiqua" w:hAnsi="Book Antiqua"/>
          <w:sz w:val="20"/>
          <w:szCs w:val="20"/>
        </w:rPr>
        <w:t>Slobodenjuk</w:t>
      </w:r>
      <w:proofErr w:type="spellEnd"/>
      <w:r>
        <w:rPr>
          <w:rFonts w:ascii="Book Antiqua" w:hAnsi="Book Antiqua"/>
          <w:sz w:val="20"/>
          <w:szCs w:val="20"/>
        </w:rPr>
        <w:t xml:space="preserve"> of Clifford Chance, D</w:t>
      </w:r>
      <w:r w:rsidRPr="009057E9">
        <w:rPr>
          <w:rFonts w:ascii="Book Antiqua" w:hAnsi="Book Antiqua"/>
          <w:sz w:val="20"/>
          <w:szCs w:val="20"/>
        </w:rPr>
        <w:t>üsseldorf</w:t>
      </w:r>
      <w:r w:rsidR="00182B6D">
        <w:rPr>
          <w:rFonts w:ascii="Book Antiqua" w:hAnsi="Book Antiqua"/>
          <w:sz w:val="20"/>
          <w:szCs w:val="20"/>
        </w:rPr>
        <w:t xml:space="preserve">, provided an overview of Germany’s FDI framework and its recement amendments.  </w:t>
      </w:r>
    </w:p>
    <w:p w14:paraId="26EA3092" w14:textId="3C65BF13" w:rsidR="00182B6D" w:rsidRPr="00182B6D" w:rsidRDefault="00182B6D" w:rsidP="00182B6D">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The current </w:t>
      </w:r>
      <w:r w:rsidR="0027675E">
        <w:rPr>
          <w:rFonts w:ascii="Book Antiqua" w:hAnsi="Book Antiqua"/>
          <w:sz w:val="20"/>
          <w:szCs w:val="20"/>
        </w:rPr>
        <w:t>rules</w:t>
      </w:r>
      <w:r>
        <w:rPr>
          <w:rFonts w:ascii="Book Antiqua" w:hAnsi="Book Antiqua"/>
          <w:sz w:val="20"/>
          <w:szCs w:val="20"/>
        </w:rPr>
        <w:t xml:space="preserve"> distinguish between two types of scrutiny. First, “sector specific” scrutiny, through which government analyses the proposed purchase by a non-German investor of at least 10% of the voting rights of a German target entity active in the defence </w:t>
      </w:r>
      <w:r w:rsidR="0027675E">
        <w:rPr>
          <w:rFonts w:ascii="Book Antiqua" w:hAnsi="Book Antiqua"/>
          <w:sz w:val="20"/>
          <w:szCs w:val="20"/>
        </w:rPr>
        <w:t xml:space="preserve">or security </w:t>
      </w:r>
      <w:r>
        <w:rPr>
          <w:rFonts w:ascii="Book Antiqua" w:hAnsi="Book Antiqua"/>
          <w:sz w:val="20"/>
          <w:szCs w:val="20"/>
        </w:rPr>
        <w:t>sector. “Cross-sectoral scrutiny” involves the examination of transactions in which a non-</w:t>
      </w:r>
      <w:r w:rsidR="006A75D1">
        <w:rPr>
          <w:rFonts w:ascii="Book Antiqua" w:hAnsi="Book Antiqua"/>
          <w:sz w:val="20"/>
          <w:szCs w:val="20"/>
        </w:rPr>
        <w:t>EU</w:t>
      </w:r>
      <w:r>
        <w:rPr>
          <w:rFonts w:ascii="Book Antiqua" w:hAnsi="Book Antiqua"/>
          <w:sz w:val="20"/>
          <w:szCs w:val="20"/>
        </w:rPr>
        <w:t xml:space="preserve"> investor purchases at least 10% of the voting rights of a German target entity that is active in certain critical sectors, for example infrastructure. </w:t>
      </w:r>
      <w:r w:rsidR="00135A6B">
        <w:rPr>
          <w:rFonts w:ascii="Book Antiqua" w:hAnsi="Book Antiqua"/>
          <w:sz w:val="20"/>
          <w:szCs w:val="20"/>
        </w:rPr>
        <w:t>The threshold of 25% of the voting applies to industries outside the critical infrastructure.</w:t>
      </w:r>
    </w:p>
    <w:p w14:paraId="0F32C7FD" w14:textId="0543C78E" w:rsidR="00182B6D" w:rsidRPr="00182B6D" w:rsidRDefault="00182B6D" w:rsidP="00182B6D">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Historically, cross-sectoral scrutiny was applied narrowly, and involved </w:t>
      </w:r>
      <w:r w:rsidR="00F51FD7">
        <w:rPr>
          <w:rFonts w:ascii="Book Antiqua" w:hAnsi="Book Antiqua"/>
          <w:sz w:val="20"/>
          <w:szCs w:val="20"/>
        </w:rPr>
        <w:t>“</w:t>
      </w:r>
      <w:r>
        <w:rPr>
          <w:rFonts w:ascii="Book Antiqua" w:hAnsi="Book Antiqua"/>
          <w:sz w:val="20"/>
          <w:szCs w:val="20"/>
        </w:rPr>
        <w:t>classic</w:t>
      </w:r>
      <w:r w:rsidR="00F51FD7">
        <w:rPr>
          <w:rFonts w:ascii="Book Antiqua" w:hAnsi="Book Antiqua"/>
          <w:sz w:val="20"/>
          <w:szCs w:val="20"/>
        </w:rPr>
        <w:t>”</w:t>
      </w:r>
      <w:r>
        <w:rPr>
          <w:rFonts w:ascii="Book Antiqua" w:hAnsi="Book Antiqua"/>
          <w:sz w:val="20"/>
          <w:szCs w:val="20"/>
        </w:rPr>
        <w:t xml:space="preserve"> areas including energy, water, telecoms and so forth. However, </w:t>
      </w:r>
      <w:r w:rsidR="005E2BB7">
        <w:rPr>
          <w:rFonts w:ascii="Book Antiqua" w:hAnsi="Book Antiqua"/>
          <w:sz w:val="20"/>
          <w:szCs w:val="20"/>
        </w:rPr>
        <w:t xml:space="preserve">two cases in the past 3 – 4 years triggered amendments to the FDI framework that resulted in the application of a more robust approach. </w:t>
      </w:r>
    </w:p>
    <w:p w14:paraId="23FC37B6" w14:textId="2722FC25" w:rsidR="005E2BB7" w:rsidRPr="005E2BB7" w:rsidRDefault="005E2BB7" w:rsidP="00182B6D">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The first concerned the acquisition of German industrial robotics firm </w:t>
      </w:r>
      <w:proofErr w:type="spellStart"/>
      <w:r>
        <w:rPr>
          <w:rFonts w:ascii="Book Antiqua" w:hAnsi="Book Antiqua"/>
          <w:sz w:val="20"/>
          <w:szCs w:val="20"/>
        </w:rPr>
        <w:t>Kuka</w:t>
      </w:r>
      <w:proofErr w:type="spellEnd"/>
      <w:r>
        <w:rPr>
          <w:rFonts w:ascii="Book Antiqua" w:hAnsi="Book Antiqua"/>
          <w:sz w:val="20"/>
          <w:szCs w:val="20"/>
        </w:rPr>
        <w:t xml:space="preserve"> by the </w:t>
      </w:r>
      <w:proofErr w:type="spellStart"/>
      <w:r>
        <w:rPr>
          <w:rFonts w:ascii="Book Antiqua" w:hAnsi="Book Antiqua"/>
          <w:sz w:val="20"/>
          <w:szCs w:val="20"/>
        </w:rPr>
        <w:t>Midea</w:t>
      </w:r>
      <w:proofErr w:type="spellEnd"/>
      <w:r>
        <w:rPr>
          <w:rFonts w:ascii="Book Antiqua" w:hAnsi="Book Antiqua"/>
          <w:sz w:val="20"/>
          <w:szCs w:val="20"/>
        </w:rPr>
        <w:t xml:space="preserve"> Group of China. The case escaped FDI scrutiny as </w:t>
      </w:r>
      <w:r w:rsidR="00135A6B">
        <w:rPr>
          <w:rFonts w:ascii="Book Antiqua" w:hAnsi="Book Antiqua"/>
          <w:sz w:val="20"/>
          <w:szCs w:val="20"/>
        </w:rPr>
        <w:t>robotics was not a critical infrastructure for the purpose of the cross-sectoral scrutiny</w:t>
      </w:r>
      <w:r w:rsidR="00163DA4">
        <w:rPr>
          <w:rFonts w:ascii="Book Antiqua" w:hAnsi="Book Antiqua"/>
          <w:sz w:val="20"/>
          <w:szCs w:val="20"/>
        </w:rPr>
        <w:t xml:space="preserve"> at the time</w:t>
      </w:r>
      <w:r>
        <w:rPr>
          <w:rFonts w:ascii="Book Antiqua" w:hAnsi="Book Antiqua"/>
          <w:sz w:val="20"/>
          <w:szCs w:val="20"/>
        </w:rPr>
        <w:t xml:space="preserve">. </w:t>
      </w:r>
    </w:p>
    <w:p w14:paraId="1CD2606F" w14:textId="042FED2A" w:rsidR="005E2BB7" w:rsidRPr="005E2BB7" w:rsidRDefault="005E2BB7" w:rsidP="00182B6D">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The second case involved the ultimately unsuccessful attempt by a Chinse-owned company to purchase shares in 50Hertz, a German “transmission system operator”. Although State Grid’s offer fell below the 25% threshold</w:t>
      </w:r>
      <w:r w:rsidR="00163DA4">
        <w:rPr>
          <w:rFonts w:ascii="Book Antiqua" w:hAnsi="Book Antiqua"/>
          <w:sz w:val="20"/>
          <w:szCs w:val="20"/>
        </w:rPr>
        <w:t xml:space="preserve"> which was applicable at that time for critical infrastructure</w:t>
      </w:r>
      <w:r>
        <w:rPr>
          <w:rFonts w:ascii="Book Antiqua" w:hAnsi="Book Antiqua"/>
          <w:sz w:val="20"/>
          <w:szCs w:val="20"/>
        </w:rPr>
        <w:t xml:space="preserve">, the German government prevented the transaction by using the state-owned bank, </w:t>
      </w:r>
      <w:proofErr w:type="spellStart"/>
      <w:r>
        <w:rPr>
          <w:rFonts w:ascii="Book Antiqua" w:hAnsi="Book Antiqua"/>
          <w:sz w:val="20"/>
          <w:szCs w:val="20"/>
        </w:rPr>
        <w:t>KfW</w:t>
      </w:r>
      <w:proofErr w:type="spellEnd"/>
      <w:r>
        <w:rPr>
          <w:rFonts w:ascii="Book Antiqua" w:hAnsi="Book Antiqua"/>
          <w:sz w:val="20"/>
          <w:szCs w:val="20"/>
        </w:rPr>
        <w:t xml:space="preserve">, as a white knight to purchase shares in 50Hertz. </w:t>
      </w:r>
    </w:p>
    <w:p w14:paraId="39C44D65" w14:textId="77777777" w:rsidR="005E2BB7" w:rsidRPr="005E2BB7" w:rsidRDefault="005E2BB7" w:rsidP="005E2BB7">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These events culminated in several changes to the German FDI regime: </w:t>
      </w:r>
    </w:p>
    <w:p w14:paraId="5D3C7DBA" w14:textId="3DAA0FF1" w:rsidR="007B7327" w:rsidRPr="007B7327" w:rsidRDefault="007B7327" w:rsidP="005E2BB7">
      <w:pPr>
        <w:pStyle w:val="ListParagraph"/>
        <w:numPr>
          <w:ilvl w:val="1"/>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In 2018, as a result of the </w:t>
      </w:r>
      <w:r w:rsidR="00135A6B">
        <w:rPr>
          <w:rFonts w:ascii="Book Antiqua" w:hAnsi="Book Antiqua"/>
          <w:sz w:val="20"/>
          <w:szCs w:val="20"/>
        </w:rPr>
        <w:t xml:space="preserve">50 Hertz </w:t>
      </w:r>
      <w:r>
        <w:rPr>
          <w:rFonts w:ascii="Book Antiqua" w:hAnsi="Book Antiqua"/>
          <w:sz w:val="20"/>
          <w:szCs w:val="20"/>
        </w:rPr>
        <w:t xml:space="preserve">transaction, the threshold for review </w:t>
      </w:r>
      <w:r w:rsidR="00135A6B">
        <w:rPr>
          <w:rFonts w:ascii="Book Antiqua" w:hAnsi="Book Antiqua"/>
          <w:sz w:val="20"/>
          <w:szCs w:val="20"/>
        </w:rPr>
        <w:t xml:space="preserve">of investments in critical infrastructure </w:t>
      </w:r>
      <w:r>
        <w:rPr>
          <w:rFonts w:ascii="Book Antiqua" w:hAnsi="Book Antiqua"/>
          <w:sz w:val="20"/>
          <w:szCs w:val="20"/>
        </w:rPr>
        <w:t xml:space="preserve">was lowered from a purchase of 25% of </w:t>
      </w:r>
      <w:r w:rsidR="0027675E">
        <w:rPr>
          <w:rFonts w:ascii="Book Antiqua" w:hAnsi="Book Antiqua"/>
          <w:sz w:val="20"/>
          <w:szCs w:val="20"/>
        </w:rPr>
        <w:t xml:space="preserve">the </w:t>
      </w:r>
      <w:r>
        <w:rPr>
          <w:rFonts w:ascii="Book Antiqua" w:hAnsi="Book Antiqua"/>
          <w:sz w:val="20"/>
          <w:szCs w:val="20"/>
        </w:rPr>
        <w:t>voting rights</w:t>
      </w:r>
      <w:r w:rsidR="0027675E">
        <w:rPr>
          <w:rFonts w:ascii="Book Antiqua" w:hAnsi="Book Antiqua"/>
          <w:sz w:val="20"/>
          <w:szCs w:val="20"/>
        </w:rPr>
        <w:t xml:space="preserve"> of the target</w:t>
      </w:r>
      <w:r>
        <w:rPr>
          <w:rFonts w:ascii="Book Antiqua" w:hAnsi="Book Antiqua"/>
          <w:sz w:val="20"/>
          <w:szCs w:val="20"/>
        </w:rPr>
        <w:t xml:space="preserve"> to 10%. </w:t>
      </w:r>
    </w:p>
    <w:p w14:paraId="29ECEBCE" w14:textId="1AD6DD26" w:rsidR="007B7327" w:rsidRPr="007B7327" w:rsidRDefault="007B7327" w:rsidP="005E2BB7">
      <w:pPr>
        <w:pStyle w:val="ListParagraph"/>
        <w:numPr>
          <w:ilvl w:val="1"/>
          <w:numId w:val="6"/>
        </w:numPr>
        <w:spacing w:before="240" w:after="240" w:line="276" w:lineRule="auto"/>
        <w:jc w:val="both"/>
        <w:rPr>
          <w:rFonts w:ascii="Book Antiqua" w:hAnsi="Book Antiqua"/>
          <w:b/>
          <w:bCs/>
          <w:sz w:val="20"/>
          <w:szCs w:val="20"/>
        </w:rPr>
      </w:pPr>
      <w:r>
        <w:rPr>
          <w:rFonts w:ascii="Book Antiqua" w:hAnsi="Book Antiqua"/>
          <w:sz w:val="20"/>
          <w:szCs w:val="20"/>
        </w:rPr>
        <w:t>In 2020, the German government harnessed the Covid</w:t>
      </w:r>
      <w:r w:rsidR="0027675E">
        <w:rPr>
          <w:rFonts w:ascii="Book Antiqua" w:hAnsi="Book Antiqua"/>
          <w:sz w:val="20"/>
          <w:szCs w:val="20"/>
        </w:rPr>
        <w:t>-19</w:t>
      </w:r>
      <w:r>
        <w:rPr>
          <w:rFonts w:ascii="Book Antiqua" w:hAnsi="Book Antiqua"/>
          <w:sz w:val="20"/>
          <w:szCs w:val="20"/>
        </w:rPr>
        <w:t xml:space="preserve"> momentum to widen the scope of FDI regulation to include proposed investment in German manufacturers and distributors of “essential pharmaceuticals”. The legislation is broadly worded and is not confined to </w:t>
      </w:r>
      <w:proofErr w:type="spellStart"/>
      <w:r>
        <w:rPr>
          <w:rFonts w:ascii="Book Antiqua" w:hAnsi="Book Antiqua"/>
          <w:sz w:val="20"/>
          <w:szCs w:val="20"/>
        </w:rPr>
        <w:t>Covid</w:t>
      </w:r>
      <w:proofErr w:type="spellEnd"/>
      <w:r>
        <w:rPr>
          <w:rFonts w:ascii="Book Antiqua" w:hAnsi="Book Antiqua"/>
          <w:sz w:val="20"/>
          <w:szCs w:val="20"/>
        </w:rPr>
        <w:t>-era transactions.</w:t>
      </w:r>
    </w:p>
    <w:p w14:paraId="352A226F" w14:textId="29603B3F" w:rsidR="00963C64" w:rsidRPr="00963C64" w:rsidRDefault="007B7327" w:rsidP="005E2BB7">
      <w:pPr>
        <w:pStyle w:val="ListParagraph"/>
        <w:numPr>
          <w:ilvl w:val="1"/>
          <w:numId w:val="6"/>
        </w:numPr>
        <w:spacing w:before="240" w:after="240" w:line="276" w:lineRule="auto"/>
        <w:jc w:val="both"/>
        <w:rPr>
          <w:rFonts w:ascii="Book Antiqua" w:hAnsi="Book Antiqua"/>
          <w:b/>
          <w:bCs/>
          <w:sz w:val="20"/>
          <w:szCs w:val="20"/>
        </w:rPr>
      </w:pPr>
      <w:r>
        <w:rPr>
          <w:rFonts w:ascii="Book Antiqua" w:hAnsi="Book Antiqua"/>
          <w:sz w:val="20"/>
          <w:szCs w:val="20"/>
        </w:rPr>
        <w:t>Amendments of a procedural nature impose government FDI approval, where applicable, as a closing condition</w:t>
      </w:r>
      <w:r w:rsidR="00963C64">
        <w:rPr>
          <w:rFonts w:ascii="Book Antiqua" w:hAnsi="Book Antiqua"/>
          <w:sz w:val="20"/>
          <w:szCs w:val="20"/>
        </w:rPr>
        <w:t xml:space="preserve"> on a transaction</w:t>
      </w:r>
      <w:r>
        <w:rPr>
          <w:rFonts w:ascii="Book Antiqua" w:hAnsi="Book Antiqua"/>
          <w:sz w:val="20"/>
          <w:szCs w:val="20"/>
        </w:rPr>
        <w:t xml:space="preserve">. More controversially, </w:t>
      </w:r>
      <w:r w:rsidR="00963C64">
        <w:rPr>
          <w:rFonts w:ascii="Book Antiqua" w:hAnsi="Book Antiqua"/>
          <w:sz w:val="20"/>
          <w:szCs w:val="20"/>
        </w:rPr>
        <w:t xml:space="preserve">gun-jumping is a criminal offence that can be punishable with a prison sentence of up to 5 years. </w:t>
      </w:r>
    </w:p>
    <w:p w14:paraId="3CF4A34B" w14:textId="688FF6DA" w:rsidR="007B7327" w:rsidRPr="007B7327" w:rsidRDefault="00135A6B" w:rsidP="007B7327">
      <w:pPr>
        <w:pStyle w:val="ListParagraph"/>
        <w:numPr>
          <w:ilvl w:val="1"/>
          <w:numId w:val="6"/>
        </w:numPr>
        <w:spacing w:before="240" w:after="240" w:line="276" w:lineRule="auto"/>
        <w:jc w:val="both"/>
        <w:rPr>
          <w:rFonts w:ascii="Book Antiqua" w:hAnsi="Book Antiqua"/>
          <w:b/>
          <w:bCs/>
          <w:sz w:val="20"/>
          <w:szCs w:val="20"/>
        </w:rPr>
      </w:pPr>
      <w:r>
        <w:rPr>
          <w:rFonts w:ascii="Book Antiqua" w:hAnsi="Book Antiqua"/>
          <w:sz w:val="20"/>
          <w:szCs w:val="20"/>
        </w:rPr>
        <w:lastRenderedPageBreak/>
        <w:t>According to public statements of the government</w:t>
      </w:r>
      <w:r w:rsidR="007B7327">
        <w:rPr>
          <w:rFonts w:ascii="Book Antiqua" w:hAnsi="Book Antiqua"/>
          <w:sz w:val="20"/>
          <w:szCs w:val="20"/>
        </w:rPr>
        <w:t xml:space="preserve">, the ambit of review </w:t>
      </w:r>
      <w:r>
        <w:rPr>
          <w:rFonts w:ascii="Book Antiqua" w:hAnsi="Book Antiqua"/>
          <w:sz w:val="20"/>
          <w:szCs w:val="20"/>
        </w:rPr>
        <w:t>will be</w:t>
      </w:r>
      <w:r w:rsidR="007B7327">
        <w:rPr>
          <w:rFonts w:ascii="Book Antiqua" w:hAnsi="Book Antiqua"/>
          <w:sz w:val="20"/>
          <w:szCs w:val="20"/>
        </w:rPr>
        <w:t xml:space="preserve"> extended to certain high-tech industries,</w:t>
      </w:r>
      <w:r w:rsidR="007B7327" w:rsidRPr="007B7327">
        <w:rPr>
          <w:rFonts w:ascii="Book Antiqua" w:hAnsi="Book Antiqua"/>
          <w:sz w:val="20"/>
          <w:szCs w:val="20"/>
        </w:rPr>
        <w:t xml:space="preserve"> which </w:t>
      </w:r>
      <w:r w:rsidR="007B7327">
        <w:rPr>
          <w:rFonts w:ascii="Book Antiqua" w:hAnsi="Book Antiqua"/>
          <w:sz w:val="20"/>
          <w:szCs w:val="20"/>
        </w:rPr>
        <w:t xml:space="preserve">reportedly </w:t>
      </w:r>
      <w:r w:rsidR="007B7327" w:rsidRPr="007B7327">
        <w:rPr>
          <w:rFonts w:ascii="Book Antiqua" w:hAnsi="Book Antiqua"/>
          <w:sz w:val="20"/>
          <w:szCs w:val="20"/>
        </w:rPr>
        <w:t>include artificial intelligence, robotics and biotechnology. The legislation has not yet been published</w:t>
      </w:r>
      <w:r w:rsidR="00553B5B">
        <w:rPr>
          <w:rFonts w:ascii="Book Antiqua" w:hAnsi="Book Antiqua"/>
          <w:sz w:val="20"/>
          <w:szCs w:val="20"/>
        </w:rPr>
        <w:t xml:space="preserve"> but partly aligns with EU </w:t>
      </w:r>
      <w:hyperlink r:id="rId7" w:anchor="d1e448-1-1" w:history="1">
        <w:r w:rsidR="00553B5B" w:rsidRPr="00F51FD7">
          <w:rPr>
            <w:rStyle w:val="Hyperlink"/>
            <w:rFonts w:ascii="Book Antiqua" w:hAnsi="Book Antiqua"/>
            <w:sz w:val="20"/>
            <w:szCs w:val="20"/>
          </w:rPr>
          <w:t>Regulation 2019/452</w:t>
        </w:r>
      </w:hyperlink>
      <w:r w:rsidR="00553B5B">
        <w:rPr>
          <w:rFonts w:ascii="Book Antiqua" w:hAnsi="Book Antiqua"/>
          <w:sz w:val="20"/>
          <w:szCs w:val="20"/>
        </w:rPr>
        <w:t xml:space="preserve"> establishing a framework for the screening of FDI into the EU (“</w:t>
      </w:r>
      <w:r w:rsidR="00553B5B" w:rsidRPr="00F51FD7">
        <w:rPr>
          <w:rFonts w:ascii="Book Antiqua" w:hAnsi="Book Antiqua"/>
          <w:b/>
          <w:bCs/>
          <w:sz w:val="20"/>
          <w:szCs w:val="20"/>
        </w:rPr>
        <w:t>EUFIS</w:t>
      </w:r>
      <w:r w:rsidR="00553B5B">
        <w:rPr>
          <w:rFonts w:ascii="Book Antiqua" w:hAnsi="Book Antiqua"/>
          <w:sz w:val="20"/>
          <w:szCs w:val="20"/>
        </w:rPr>
        <w:t>”).</w:t>
      </w:r>
    </w:p>
    <w:p w14:paraId="6B8B9F9A" w14:textId="6E809893" w:rsidR="00C11B94" w:rsidRPr="00D24E0D" w:rsidRDefault="00D47592" w:rsidP="007B7327">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T</w:t>
      </w:r>
      <w:r w:rsidR="00C11B94">
        <w:rPr>
          <w:rFonts w:ascii="Book Antiqua" w:hAnsi="Book Antiqua"/>
          <w:sz w:val="20"/>
          <w:szCs w:val="20"/>
        </w:rPr>
        <w:t xml:space="preserve">he amendments may be seen as too far-reaching, and less intensive measures may have sufficed to achieve the goal of protecting </w:t>
      </w:r>
      <w:r w:rsidR="00135A6B">
        <w:rPr>
          <w:rFonts w:ascii="Book Antiqua" w:hAnsi="Book Antiqua"/>
          <w:sz w:val="20"/>
          <w:szCs w:val="20"/>
        </w:rPr>
        <w:t xml:space="preserve">national </w:t>
      </w:r>
      <w:r w:rsidR="00C11B94">
        <w:rPr>
          <w:rFonts w:ascii="Book Antiqua" w:hAnsi="Book Antiqua"/>
          <w:sz w:val="20"/>
          <w:szCs w:val="20"/>
        </w:rPr>
        <w:t>critical industries.</w:t>
      </w:r>
    </w:p>
    <w:p w14:paraId="7D5DBCD8" w14:textId="11212CD6" w:rsidR="00D24E0D" w:rsidRPr="00D47592" w:rsidRDefault="00D24E0D" w:rsidP="00D47592">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 xml:space="preserve">In </w:t>
      </w:r>
      <w:r w:rsidR="00D47592">
        <w:rPr>
          <w:rFonts w:ascii="Book Antiqua" w:hAnsi="Book Antiqua"/>
          <w:sz w:val="20"/>
          <w:szCs w:val="20"/>
        </w:rPr>
        <w:t xml:space="preserve">addition, </w:t>
      </w:r>
      <w:r>
        <w:rPr>
          <w:rFonts w:ascii="Book Antiqua" w:hAnsi="Book Antiqua"/>
          <w:sz w:val="20"/>
          <w:szCs w:val="20"/>
        </w:rPr>
        <w:t xml:space="preserve">other </w:t>
      </w:r>
      <w:r w:rsidR="00C11B94" w:rsidRPr="00D24E0D">
        <w:rPr>
          <w:rFonts w:ascii="Book Antiqua" w:hAnsi="Book Antiqua"/>
          <w:sz w:val="20"/>
          <w:szCs w:val="20"/>
        </w:rPr>
        <w:t xml:space="preserve">Member States may soon follow Germany’s lead, which raises the question of whether a proliferation of domestic FDI regimes has the potential to </w:t>
      </w:r>
      <w:r w:rsidR="00135A6B">
        <w:rPr>
          <w:rFonts w:ascii="Book Antiqua" w:hAnsi="Book Antiqua"/>
          <w:sz w:val="20"/>
          <w:szCs w:val="20"/>
        </w:rPr>
        <w:t>prevent</w:t>
      </w:r>
      <w:r w:rsidR="00C11B94" w:rsidRPr="00D24E0D">
        <w:rPr>
          <w:rFonts w:ascii="Book Antiqua" w:hAnsi="Book Antiqua"/>
          <w:sz w:val="20"/>
          <w:szCs w:val="20"/>
        </w:rPr>
        <w:t xml:space="preserve"> t</w:t>
      </w:r>
      <w:r w:rsidR="00135A6B">
        <w:rPr>
          <w:rFonts w:ascii="Book Antiqua" w:hAnsi="Book Antiqua"/>
          <w:sz w:val="20"/>
          <w:szCs w:val="20"/>
        </w:rPr>
        <w:t>he</w:t>
      </w:r>
      <w:r w:rsidR="00C11B94" w:rsidRPr="00D24E0D">
        <w:rPr>
          <w:rFonts w:ascii="Book Antiqua" w:hAnsi="Book Antiqua"/>
          <w:sz w:val="20"/>
          <w:szCs w:val="20"/>
        </w:rPr>
        <w:t xml:space="preserve"> “one-stop-</w:t>
      </w:r>
      <w:proofErr w:type="gramStart"/>
      <w:r w:rsidR="00C11B94" w:rsidRPr="00D24E0D">
        <w:rPr>
          <w:rFonts w:ascii="Book Antiqua" w:hAnsi="Book Antiqua"/>
          <w:sz w:val="20"/>
          <w:szCs w:val="20"/>
        </w:rPr>
        <w:t>shop”  in</w:t>
      </w:r>
      <w:proofErr w:type="gramEnd"/>
      <w:r w:rsidR="00C11B94" w:rsidRPr="00D24E0D">
        <w:rPr>
          <w:rFonts w:ascii="Book Antiqua" w:hAnsi="Book Antiqua"/>
          <w:sz w:val="20"/>
          <w:szCs w:val="20"/>
        </w:rPr>
        <w:t xml:space="preserve"> the EU. </w:t>
      </w:r>
      <w:r w:rsidRPr="00D24E0D">
        <w:rPr>
          <w:rFonts w:ascii="Book Antiqua" w:hAnsi="Book Antiqua"/>
          <w:sz w:val="20"/>
          <w:szCs w:val="20"/>
        </w:rPr>
        <w:t>It is possible that Member States’ FDI regimes will gradually align in the next 5 – 10 years. However,</w:t>
      </w:r>
      <w:r>
        <w:rPr>
          <w:rFonts w:ascii="Book Antiqua" w:hAnsi="Book Antiqua"/>
          <w:sz w:val="20"/>
          <w:szCs w:val="20"/>
        </w:rPr>
        <w:t xml:space="preserve"> this must be balanced against </w:t>
      </w:r>
      <w:r w:rsidRPr="00D24E0D">
        <w:rPr>
          <w:rFonts w:ascii="Book Antiqua" w:hAnsi="Book Antiqua"/>
          <w:sz w:val="20"/>
          <w:szCs w:val="20"/>
        </w:rPr>
        <w:t>the different national interests at play</w:t>
      </w:r>
      <w:r w:rsidR="00D47592">
        <w:rPr>
          <w:rFonts w:ascii="Book Antiqua" w:hAnsi="Book Antiqua"/>
          <w:sz w:val="20"/>
          <w:szCs w:val="20"/>
        </w:rPr>
        <w:t>.</w:t>
      </w:r>
    </w:p>
    <w:p w14:paraId="5A5DB212" w14:textId="1EE9776B" w:rsidR="00C11B94" w:rsidRPr="007B7327" w:rsidRDefault="00D47592" w:rsidP="007B7327">
      <w:pPr>
        <w:pStyle w:val="ListParagraph"/>
        <w:numPr>
          <w:ilvl w:val="0"/>
          <w:numId w:val="6"/>
        </w:numPr>
        <w:spacing w:before="240" w:after="240" w:line="276" w:lineRule="auto"/>
        <w:jc w:val="both"/>
        <w:rPr>
          <w:rFonts w:ascii="Book Antiqua" w:hAnsi="Book Antiqua"/>
          <w:b/>
          <w:bCs/>
          <w:sz w:val="20"/>
          <w:szCs w:val="20"/>
        </w:rPr>
      </w:pPr>
      <w:r>
        <w:rPr>
          <w:rFonts w:ascii="Book Antiqua" w:hAnsi="Book Antiqua"/>
          <w:sz w:val="20"/>
          <w:szCs w:val="20"/>
        </w:rPr>
        <w:t>An attendee linked the potential decline of centralised merger control with the German Constitutional Court’s ECB judgment delivered on 5 May 2020.</w:t>
      </w:r>
      <w:r w:rsidR="00F51FD7">
        <w:rPr>
          <w:rFonts w:ascii="Book Antiqua" w:hAnsi="Book Antiqua"/>
          <w:sz w:val="20"/>
          <w:szCs w:val="20"/>
        </w:rPr>
        <w:t xml:space="preserve"> In the ensuing discussion, the judgment was briefly described as centring on the supremacy of legal orders,</w:t>
      </w:r>
      <w:r w:rsidR="00EF49F1">
        <w:rPr>
          <w:rFonts w:ascii="Book Antiqua" w:hAnsi="Book Antiqua"/>
          <w:sz w:val="20"/>
          <w:szCs w:val="20"/>
        </w:rPr>
        <w:t xml:space="preserve"> </w:t>
      </w:r>
      <w:r w:rsidR="00F51FD7">
        <w:rPr>
          <w:rFonts w:ascii="Book Antiqua" w:hAnsi="Book Antiqua"/>
          <w:sz w:val="20"/>
          <w:szCs w:val="20"/>
        </w:rPr>
        <w:t>but how the Commission may still lead in certain projects, such as Horizon 2020 and the Trans-European Networks referred to in</w:t>
      </w:r>
      <w:r w:rsidR="00553B5B">
        <w:rPr>
          <w:rFonts w:ascii="Book Antiqua" w:hAnsi="Book Antiqua"/>
          <w:sz w:val="20"/>
          <w:szCs w:val="20"/>
        </w:rPr>
        <w:t xml:space="preserve"> EUFIS.</w:t>
      </w:r>
      <w:r w:rsidR="00F51FD7">
        <w:rPr>
          <w:rFonts w:ascii="Book Antiqua" w:hAnsi="Book Antiqua"/>
          <w:sz w:val="20"/>
          <w:szCs w:val="20"/>
        </w:rPr>
        <w:t xml:space="preserve"> The Commission may also address particular subjects by issuing opinions. </w:t>
      </w:r>
    </w:p>
    <w:p w14:paraId="0F2AEF89" w14:textId="18C6A55A" w:rsidR="009057E9" w:rsidRDefault="009057E9" w:rsidP="00CF07AF">
      <w:pPr>
        <w:spacing w:before="240" w:after="240" w:line="276" w:lineRule="auto"/>
        <w:jc w:val="both"/>
        <w:rPr>
          <w:rFonts w:ascii="Book Antiqua" w:hAnsi="Book Antiqua"/>
          <w:b/>
          <w:bCs/>
          <w:sz w:val="20"/>
          <w:szCs w:val="20"/>
        </w:rPr>
      </w:pPr>
      <w:r>
        <w:rPr>
          <w:rFonts w:ascii="Book Antiqua" w:hAnsi="Book Antiqua"/>
          <w:b/>
          <w:bCs/>
          <w:sz w:val="20"/>
          <w:szCs w:val="20"/>
        </w:rPr>
        <w:t xml:space="preserve">The investor status of the United Kingdom during the Brexit transition period </w:t>
      </w:r>
    </w:p>
    <w:p w14:paraId="17C230C2" w14:textId="4D1CB2BE" w:rsidR="003B06FB" w:rsidRPr="003B06FB" w:rsidRDefault="003B06FB" w:rsidP="00CF07AF">
      <w:pPr>
        <w:spacing w:before="240" w:after="240" w:line="276" w:lineRule="auto"/>
        <w:jc w:val="both"/>
        <w:rPr>
          <w:rFonts w:ascii="Book Antiqua" w:hAnsi="Book Antiqua"/>
          <w:i/>
          <w:iCs/>
          <w:sz w:val="20"/>
          <w:szCs w:val="20"/>
        </w:rPr>
      </w:pPr>
      <w:r>
        <w:rPr>
          <w:rFonts w:ascii="Book Antiqua" w:hAnsi="Book Antiqua"/>
          <w:i/>
          <w:iCs/>
          <w:sz w:val="20"/>
          <w:szCs w:val="20"/>
        </w:rPr>
        <w:t xml:space="preserve">UK Investors </w:t>
      </w:r>
    </w:p>
    <w:p w14:paraId="4D062EF0" w14:textId="58E2A1DE" w:rsidR="00720786" w:rsidRDefault="00F51FD7"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 xml:space="preserve">In </w:t>
      </w:r>
      <w:hyperlink r:id="rId8" w:history="1">
        <w:r w:rsidRPr="00720786">
          <w:rPr>
            <w:rStyle w:val="Hyperlink"/>
            <w:rFonts w:ascii="Book Antiqua" w:hAnsi="Book Antiqua"/>
            <w:sz w:val="20"/>
            <w:szCs w:val="20"/>
          </w:rPr>
          <w:t>April’s instalment</w:t>
        </w:r>
      </w:hyperlink>
      <w:r>
        <w:rPr>
          <w:rFonts w:ascii="Book Antiqua" w:hAnsi="Book Antiqua"/>
          <w:sz w:val="20"/>
          <w:szCs w:val="20"/>
        </w:rPr>
        <w:t xml:space="preserve"> of the FDI webinar, an attendee asked whether UK investors would be treated as </w:t>
      </w:r>
      <w:r w:rsidRPr="00F51FD7">
        <w:rPr>
          <w:rFonts w:ascii="Book Antiqua" w:hAnsi="Book Antiqua"/>
          <w:sz w:val="20"/>
          <w:szCs w:val="20"/>
        </w:rPr>
        <w:t xml:space="preserve">“foreign investors” for the purposes of </w:t>
      </w:r>
      <w:r w:rsidR="00720786">
        <w:rPr>
          <w:rFonts w:ascii="Book Antiqua" w:hAnsi="Book Antiqua"/>
          <w:sz w:val="20"/>
          <w:szCs w:val="20"/>
        </w:rPr>
        <w:t>EUFIS. In this session, Oliver canvassed the relevant rules and regulations with a view to answering th</w:t>
      </w:r>
      <w:r w:rsidR="003B06FB">
        <w:rPr>
          <w:rFonts w:ascii="Book Antiqua" w:hAnsi="Book Antiqua"/>
          <w:sz w:val="20"/>
          <w:szCs w:val="20"/>
        </w:rPr>
        <w:t>e</w:t>
      </w:r>
      <w:r w:rsidR="00720786">
        <w:rPr>
          <w:rFonts w:ascii="Book Antiqua" w:hAnsi="Book Antiqua"/>
          <w:sz w:val="20"/>
          <w:szCs w:val="20"/>
        </w:rPr>
        <w:t xml:space="preserve"> question in more detail. </w:t>
      </w:r>
    </w:p>
    <w:p w14:paraId="5EC1C8F3" w14:textId="56C68B06" w:rsidR="00720786" w:rsidRDefault="00720786"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EUFIS defines a “foreign investor” in Article 2(2) as</w:t>
      </w:r>
      <w:r w:rsidR="003B06FB">
        <w:rPr>
          <w:rFonts w:ascii="Book Antiqua" w:hAnsi="Book Antiqua"/>
          <w:sz w:val="20"/>
          <w:szCs w:val="20"/>
        </w:rPr>
        <w:t xml:space="preserve"> </w:t>
      </w:r>
      <w:r>
        <w:rPr>
          <w:rFonts w:ascii="Book Antiqua" w:hAnsi="Book Antiqua"/>
          <w:sz w:val="20"/>
          <w:szCs w:val="20"/>
        </w:rPr>
        <w:t>“</w:t>
      </w:r>
      <w:r w:rsidRPr="00720786">
        <w:rPr>
          <w:rFonts w:ascii="Book Antiqua" w:hAnsi="Book Antiqua"/>
          <w:i/>
          <w:iCs/>
          <w:sz w:val="20"/>
          <w:szCs w:val="20"/>
        </w:rPr>
        <w:t>a natural person of a third country or an undertaking of a third country, intending to make or having made a foreign direct investment</w:t>
      </w:r>
      <w:r>
        <w:rPr>
          <w:rFonts w:ascii="Book Antiqua" w:hAnsi="Book Antiqua"/>
          <w:sz w:val="20"/>
          <w:szCs w:val="20"/>
        </w:rPr>
        <w:t xml:space="preserve">”. According to the Council, the UK would be “considered as a third country” from the entry into force of the UK Withdrawal Agreement (31 January 2020 at midnight CET). </w:t>
      </w:r>
      <w:r w:rsidR="003B06FB">
        <w:rPr>
          <w:rFonts w:ascii="Book Antiqua" w:hAnsi="Book Antiqua"/>
          <w:sz w:val="20"/>
          <w:szCs w:val="20"/>
        </w:rPr>
        <w:t xml:space="preserve">It therefore </w:t>
      </w:r>
      <w:r>
        <w:rPr>
          <w:rFonts w:ascii="Book Antiqua" w:hAnsi="Book Antiqua"/>
          <w:sz w:val="20"/>
          <w:szCs w:val="20"/>
        </w:rPr>
        <w:t xml:space="preserve">appears that the UK would be considered a foreign investor. </w:t>
      </w:r>
    </w:p>
    <w:p w14:paraId="4281F221" w14:textId="40C1B6BA" w:rsidR="00720786" w:rsidRDefault="00720786"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 xml:space="preserve">However, the position is complicated by the </w:t>
      </w:r>
      <w:r w:rsidR="00963C64">
        <w:rPr>
          <w:rFonts w:ascii="Book Antiqua" w:hAnsi="Book Antiqua"/>
          <w:sz w:val="20"/>
          <w:szCs w:val="20"/>
        </w:rPr>
        <w:t>r</w:t>
      </w:r>
      <w:r>
        <w:rPr>
          <w:rFonts w:ascii="Book Antiqua" w:hAnsi="Book Antiqua"/>
          <w:sz w:val="20"/>
          <w:szCs w:val="20"/>
        </w:rPr>
        <w:t xml:space="preserve">ecitals in the Withdrawal Agreement, which state that </w:t>
      </w:r>
      <w:r w:rsidR="00963C64">
        <w:rPr>
          <w:rFonts w:ascii="Book Antiqua" w:hAnsi="Book Antiqua"/>
          <w:sz w:val="20"/>
          <w:szCs w:val="20"/>
        </w:rPr>
        <w:t xml:space="preserve">during the transition period, </w:t>
      </w:r>
      <w:r>
        <w:rPr>
          <w:rFonts w:ascii="Book Antiqua" w:hAnsi="Book Antiqua"/>
          <w:sz w:val="20"/>
          <w:szCs w:val="20"/>
        </w:rPr>
        <w:t>EU law “</w:t>
      </w:r>
      <w:r w:rsidRPr="00720786">
        <w:rPr>
          <w:rFonts w:ascii="Book Antiqua" w:hAnsi="Book Antiqua"/>
          <w:i/>
          <w:iCs/>
          <w:sz w:val="20"/>
          <w:szCs w:val="20"/>
        </w:rPr>
        <w:t>should be applicable to and in the UK, and, as a general rule, with the same effect as regards Member States…</w:t>
      </w:r>
      <w:r>
        <w:rPr>
          <w:rFonts w:ascii="Book Antiqua" w:hAnsi="Book Antiqua"/>
          <w:sz w:val="20"/>
          <w:szCs w:val="20"/>
        </w:rPr>
        <w:t>”</w:t>
      </w:r>
      <w:r w:rsidR="003B06FB">
        <w:rPr>
          <w:rFonts w:ascii="Book Antiqua" w:hAnsi="Book Antiqua"/>
          <w:sz w:val="20"/>
          <w:szCs w:val="20"/>
        </w:rPr>
        <w:t xml:space="preserve"> On this basis, it seems that the UK will not be treated as a “foreign investor” during the transition </w:t>
      </w:r>
      <w:proofErr w:type="gramStart"/>
      <w:r w:rsidR="003B06FB">
        <w:rPr>
          <w:rFonts w:ascii="Book Antiqua" w:hAnsi="Book Antiqua"/>
          <w:sz w:val="20"/>
          <w:szCs w:val="20"/>
        </w:rPr>
        <w:t>period, but</w:t>
      </w:r>
      <w:proofErr w:type="gramEnd"/>
      <w:r w:rsidR="003B06FB">
        <w:rPr>
          <w:rFonts w:ascii="Book Antiqua" w:hAnsi="Book Antiqua"/>
          <w:sz w:val="20"/>
          <w:szCs w:val="20"/>
        </w:rPr>
        <w:t xml:space="preserve"> have </w:t>
      </w:r>
      <w:r w:rsidR="00963C64">
        <w:rPr>
          <w:rFonts w:ascii="Book Antiqua" w:hAnsi="Book Antiqua"/>
          <w:sz w:val="20"/>
          <w:szCs w:val="20"/>
        </w:rPr>
        <w:t>EUFIS</w:t>
      </w:r>
      <w:r w:rsidR="003B06FB">
        <w:rPr>
          <w:rFonts w:ascii="Book Antiqua" w:hAnsi="Book Antiqua"/>
          <w:sz w:val="20"/>
          <w:szCs w:val="20"/>
        </w:rPr>
        <w:t xml:space="preserve"> applied to it in the same way as the Member States. This aligns with the positions of the German and French governments</w:t>
      </w:r>
      <w:r w:rsidR="00FF23AD">
        <w:rPr>
          <w:rFonts w:ascii="Book Antiqua" w:hAnsi="Book Antiqua"/>
          <w:sz w:val="20"/>
          <w:szCs w:val="20"/>
        </w:rPr>
        <w:t xml:space="preserve"> on the point</w:t>
      </w:r>
      <w:r w:rsidR="003B06FB">
        <w:rPr>
          <w:rFonts w:ascii="Book Antiqua" w:hAnsi="Book Antiqua"/>
          <w:sz w:val="20"/>
          <w:szCs w:val="20"/>
        </w:rPr>
        <w:t xml:space="preserve">. </w:t>
      </w:r>
    </w:p>
    <w:p w14:paraId="270BDC67" w14:textId="7E0C14D9" w:rsidR="003B06FB" w:rsidRPr="003B06FB" w:rsidRDefault="003B06FB" w:rsidP="003B06FB">
      <w:pPr>
        <w:spacing w:before="240" w:after="240" w:line="276" w:lineRule="auto"/>
        <w:jc w:val="both"/>
        <w:rPr>
          <w:rFonts w:ascii="Book Antiqua" w:hAnsi="Book Antiqua"/>
          <w:i/>
          <w:iCs/>
          <w:sz w:val="20"/>
          <w:szCs w:val="20"/>
        </w:rPr>
      </w:pPr>
      <w:r>
        <w:rPr>
          <w:rFonts w:ascii="Book Antiqua" w:hAnsi="Book Antiqua"/>
          <w:i/>
          <w:iCs/>
          <w:sz w:val="20"/>
          <w:szCs w:val="20"/>
        </w:rPr>
        <w:t>PE Funds established in the Channel Islands</w:t>
      </w:r>
    </w:p>
    <w:p w14:paraId="4B4D9208" w14:textId="60307834" w:rsidR="003B06FB" w:rsidRDefault="003B06FB"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 xml:space="preserve">This is in contrast to the treatment of UK PE </w:t>
      </w:r>
      <w:r w:rsidR="00963C64">
        <w:rPr>
          <w:rFonts w:ascii="Book Antiqua" w:hAnsi="Book Antiqua"/>
          <w:sz w:val="20"/>
          <w:szCs w:val="20"/>
        </w:rPr>
        <w:t>F</w:t>
      </w:r>
      <w:r>
        <w:rPr>
          <w:rFonts w:ascii="Book Antiqua" w:hAnsi="Book Antiqua"/>
          <w:sz w:val="20"/>
          <w:szCs w:val="20"/>
        </w:rPr>
        <w:t xml:space="preserve">unds that are established in the Channel Islands, which stand in a different position vis-à-vis the </w:t>
      </w:r>
      <w:r w:rsidR="00963C64">
        <w:rPr>
          <w:rFonts w:ascii="Book Antiqua" w:hAnsi="Book Antiqua"/>
          <w:sz w:val="20"/>
          <w:szCs w:val="20"/>
        </w:rPr>
        <w:t xml:space="preserve">law of the </w:t>
      </w:r>
      <w:r>
        <w:rPr>
          <w:rFonts w:ascii="Book Antiqua" w:hAnsi="Book Antiqua"/>
          <w:sz w:val="20"/>
          <w:szCs w:val="20"/>
        </w:rPr>
        <w:t xml:space="preserve">EU.  </w:t>
      </w:r>
    </w:p>
    <w:p w14:paraId="39FE8879" w14:textId="628BE51F" w:rsidR="00F00964" w:rsidRDefault="003B06FB"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Protocol 3 of the UK</w:t>
      </w:r>
      <w:r w:rsidR="00F00964">
        <w:rPr>
          <w:rFonts w:ascii="Book Antiqua" w:hAnsi="Book Antiqua"/>
          <w:sz w:val="20"/>
          <w:szCs w:val="20"/>
        </w:rPr>
        <w:t>’s 1972 Accession Treaty stipulate</w:t>
      </w:r>
      <w:r w:rsidR="00963C64">
        <w:rPr>
          <w:rFonts w:ascii="Book Antiqua" w:hAnsi="Book Antiqua"/>
          <w:sz w:val="20"/>
          <w:szCs w:val="20"/>
        </w:rPr>
        <w:t>s</w:t>
      </w:r>
      <w:r w:rsidR="00F00964">
        <w:rPr>
          <w:rFonts w:ascii="Book Antiqua" w:hAnsi="Book Antiqua"/>
          <w:sz w:val="20"/>
          <w:szCs w:val="20"/>
        </w:rPr>
        <w:t xml:space="preserve"> that the Channel Islands “</w:t>
      </w:r>
      <w:r w:rsidR="00F00964" w:rsidRPr="00F00964">
        <w:rPr>
          <w:rFonts w:ascii="Book Antiqua" w:hAnsi="Book Antiqua"/>
          <w:i/>
          <w:iCs/>
          <w:sz w:val="20"/>
          <w:szCs w:val="20"/>
        </w:rPr>
        <w:t>were effectively part of the Customs Union and could trade in goods as if they were part of the EU</w:t>
      </w:r>
      <w:r w:rsidR="00F00964">
        <w:rPr>
          <w:rFonts w:ascii="Book Antiqua" w:hAnsi="Book Antiqua"/>
          <w:sz w:val="20"/>
          <w:szCs w:val="20"/>
        </w:rPr>
        <w:t xml:space="preserve">”. The Treaty is silent on other hallmarks of EU law, such as the </w:t>
      </w:r>
      <w:r w:rsidR="00FF23AD">
        <w:rPr>
          <w:rFonts w:ascii="Book Antiqua" w:hAnsi="Book Antiqua"/>
          <w:sz w:val="20"/>
          <w:szCs w:val="20"/>
        </w:rPr>
        <w:t xml:space="preserve">free movement </w:t>
      </w:r>
      <w:r w:rsidR="00F00964">
        <w:rPr>
          <w:rFonts w:ascii="Book Antiqua" w:hAnsi="Book Antiqua"/>
          <w:sz w:val="20"/>
          <w:szCs w:val="20"/>
        </w:rPr>
        <w:t xml:space="preserve">of capital. </w:t>
      </w:r>
    </w:p>
    <w:p w14:paraId="14359899" w14:textId="6155C8F3" w:rsidR="00F00964" w:rsidRDefault="00F00964"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 xml:space="preserve">When read with Article 3(1)c of the Withdrawal Agreement, the EU law applicable to the Channel Islands is confined to that stated in Protocol 3. On this basis, it is likely that a PE fund established </w:t>
      </w:r>
      <w:r>
        <w:rPr>
          <w:rFonts w:ascii="Book Antiqua" w:hAnsi="Book Antiqua"/>
          <w:sz w:val="20"/>
          <w:szCs w:val="20"/>
        </w:rPr>
        <w:lastRenderedPageBreak/>
        <w:t>in the Channel Islands would be treated as a “foreign investor” under</w:t>
      </w:r>
      <w:r w:rsidR="00D03479">
        <w:rPr>
          <w:rFonts w:ascii="Book Antiqua" w:hAnsi="Book Antiqua"/>
          <w:sz w:val="20"/>
          <w:szCs w:val="20"/>
        </w:rPr>
        <w:t xml:space="preserve"> both</w:t>
      </w:r>
      <w:r>
        <w:rPr>
          <w:rFonts w:ascii="Book Antiqua" w:hAnsi="Book Antiqua"/>
          <w:sz w:val="20"/>
          <w:szCs w:val="20"/>
        </w:rPr>
        <w:t xml:space="preserve"> EUFIS and Member State national law.</w:t>
      </w:r>
    </w:p>
    <w:p w14:paraId="387D9C89" w14:textId="5BC1D04E" w:rsidR="00F00964" w:rsidRDefault="00F00964"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Attendees confirmed that this is the position followed by the German and French governments. In addition, the view of the German government is that as soon as there is an SPV in the chain of ownership structure that is a “foreign investor”, the whole transaction must be notified to the German government</w:t>
      </w:r>
      <w:r w:rsidR="00D03479">
        <w:rPr>
          <w:rFonts w:ascii="Book Antiqua" w:hAnsi="Book Antiqua"/>
          <w:sz w:val="20"/>
          <w:szCs w:val="20"/>
        </w:rPr>
        <w:t>. This would include SPVs established in Channel Islands, despite</w:t>
      </w:r>
      <w:r>
        <w:rPr>
          <w:rFonts w:ascii="Book Antiqua" w:hAnsi="Book Antiqua"/>
          <w:sz w:val="20"/>
          <w:szCs w:val="20"/>
        </w:rPr>
        <w:t xml:space="preserve"> the fact that the ultimate PE fund is located in the UK. </w:t>
      </w:r>
    </w:p>
    <w:p w14:paraId="356128DD" w14:textId="69EA7879" w:rsidR="00473484" w:rsidRDefault="00473484" w:rsidP="00720786">
      <w:pPr>
        <w:pStyle w:val="ListParagraph"/>
        <w:numPr>
          <w:ilvl w:val="0"/>
          <w:numId w:val="7"/>
        </w:numPr>
        <w:spacing w:before="240" w:after="240" w:line="276" w:lineRule="auto"/>
        <w:jc w:val="both"/>
        <w:rPr>
          <w:rFonts w:ascii="Book Antiqua" w:hAnsi="Book Antiqua"/>
          <w:sz w:val="20"/>
          <w:szCs w:val="20"/>
        </w:rPr>
      </w:pPr>
      <w:r>
        <w:rPr>
          <w:rFonts w:ascii="Book Antiqua" w:hAnsi="Book Antiqua"/>
          <w:sz w:val="20"/>
          <w:szCs w:val="20"/>
        </w:rPr>
        <w:t xml:space="preserve">Similarly, hedge funds may find themselves caught by low FDI thresholds where they would </w:t>
      </w:r>
      <w:r w:rsidR="00436EFC">
        <w:rPr>
          <w:rFonts w:ascii="Book Antiqua" w:hAnsi="Book Antiqua"/>
          <w:sz w:val="20"/>
          <w:szCs w:val="20"/>
        </w:rPr>
        <w:t xml:space="preserve">not </w:t>
      </w:r>
      <w:r>
        <w:rPr>
          <w:rFonts w:ascii="Book Antiqua" w:hAnsi="Book Antiqua"/>
          <w:sz w:val="20"/>
          <w:szCs w:val="20"/>
        </w:rPr>
        <w:t xml:space="preserve">have been before. This creates a potentially new group of clients affected by FDI frameworks and the potential for missed filings. </w:t>
      </w:r>
    </w:p>
    <w:p w14:paraId="4EDE501A" w14:textId="7D0FB6AF" w:rsidR="00D03479" w:rsidRDefault="00D03479" w:rsidP="00D03479">
      <w:pPr>
        <w:spacing w:before="240" w:after="240" w:line="276" w:lineRule="auto"/>
        <w:jc w:val="both"/>
        <w:rPr>
          <w:rFonts w:ascii="Book Antiqua" w:hAnsi="Book Antiqua"/>
          <w:sz w:val="20"/>
          <w:szCs w:val="20"/>
        </w:rPr>
      </w:pPr>
      <w:r>
        <w:rPr>
          <w:rFonts w:ascii="Book Antiqua" w:hAnsi="Book Antiqua"/>
          <w:b/>
          <w:bCs/>
          <w:sz w:val="20"/>
          <w:szCs w:val="20"/>
        </w:rPr>
        <w:t>Discussion in response to questions</w:t>
      </w:r>
    </w:p>
    <w:p w14:paraId="6D1F6A5D" w14:textId="2BE1B127" w:rsidR="00473484" w:rsidRDefault="00D03479" w:rsidP="00D03479">
      <w:pPr>
        <w:pStyle w:val="ListParagraph"/>
        <w:numPr>
          <w:ilvl w:val="0"/>
          <w:numId w:val="8"/>
        </w:numPr>
        <w:spacing w:before="240" w:after="240" w:line="276" w:lineRule="auto"/>
        <w:jc w:val="both"/>
        <w:rPr>
          <w:rFonts w:ascii="Book Antiqua" w:hAnsi="Book Antiqua"/>
          <w:sz w:val="20"/>
          <w:szCs w:val="20"/>
        </w:rPr>
      </w:pPr>
      <w:r>
        <w:rPr>
          <w:rFonts w:ascii="Book Antiqua" w:hAnsi="Book Antiqua"/>
          <w:sz w:val="20"/>
          <w:szCs w:val="20"/>
        </w:rPr>
        <w:t xml:space="preserve">Germany is not alone in having enacted gun-jumping sanctions. However, it is unique in its choice of </w:t>
      </w:r>
      <w:r w:rsidR="00FF23AD">
        <w:rPr>
          <w:rFonts w:ascii="Book Antiqua" w:hAnsi="Book Antiqua"/>
          <w:sz w:val="20"/>
          <w:szCs w:val="20"/>
        </w:rPr>
        <w:t xml:space="preserve">potential </w:t>
      </w:r>
      <w:r>
        <w:rPr>
          <w:rFonts w:ascii="Book Antiqua" w:hAnsi="Book Antiqua"/>
          <w:sz w:val="20"/>
          <w:szCs w:val="20"/>
        </w:rPr>
        <w:t xml:space="preserve">criminal sanctions, </w:t>
      </w:r>
      <w:r w:rsidR="00473484">
        <w:rPr>
          <w:rFonts w:ascii="Book Antiqua" w:hAnsi="Book Antiqua"/>
          <w:sz w:val="20"/>
          <w:szCs w:val="20"/>
        </w:rPr>
        <w:t>which raise</w:t>
      </w:r>
      <w:r w:rsidR="00A31A47">
        <w:rPr>
          <w:rFonts w:ascii="Book Antiqua" w:hAnsi="Book Antiqua"/>
          <w:sz w:val="20"/>
          <w:szCs w:val="20"/>
        </w:rPr>
        <w:t>s</w:t>
      </w:r>
      <w:r w:rsidR="00473484">
        <w:rPr>
          <w:rFonts w:ascii="Book Antiqua" w:hAnsi="Book Antiqua"/>
          <w:sz w:val="20"/>
          <w:szCs w:val="20"/>
        </w:rPr>
        <w:t xml:space="preserve"> the question of how the German government will enforce a penalty against individuals located in </w:t>
      </w:r>
      <w:r w:rsidR="00436EFC">
        <w:rPr>
          <w:rFonts w:ascii="Book Antiqua" w:hAnsi="Book Antiqua"/>
          <w:sz w:val="20"/>
          <w:szCs w:val="20"/>
        </w:rPr>
        <w:t>other</w:t>
      </w:r>
      <w:r w:rsidR="00473484">
        <w:rPr>
          <w:rFonts w:ascii="Book Antiqua" w:hAnsi="Book Antiqua"/>
          <w:sz w:val="20"/>
          <w:szCs w:val="20"/>
        </w:rPr>
        <w:t xml:space="preserve"> countries. Monetary sanctions would likely have been a more efficient tool, and one that poses fewer enforcement complications. </w:t>
      </w:r>
    </w:p>
    <w:p w14:paraId="296D756E" w14:textId="564ACDC2" w:rsidR="003F1FAC" w:rsidRPr="00473484" w:rsidRDefault="00473484" w:rsidP="00473484">
      <w:pPr>
        <w:pStyle w:val="ListParagraph"/>
        <w:numPr>
          <w:ilvl w:val="0"/>
          <w:numId w:val="8"/>
        </w:numPr>
        <w:spacing w:before="240" w:after="240" w:line="276" w:lineRule="auto"/>
        <w:jc w:val="both"/>
        <w:rPr>
          <w:rFonts w:ascii="Book Antiqua" w:hAnsi="Book Antiqua"/>
          <w:sz w:val="20"/>
          <w:szCs w:val="20"/>
        </w:rPr>
      </w:pPr>
      <w:r>
        <w:rPr>
          <w:rFonts w:ascii="Book Antiqua" w:hAnsi="Book Antiqua"/>
          <w:sz w:val="20"/>
          <w:szCs w:val="20"/>
        </w:rPr>
        <w:t>The number of suspensory regimes in force</w:t>
      </w:r>
      <w:r w:rsidR="009E3BEB">
        <w:rPr>
          <w:rFonts w:ascii="Book Antiqua" w:hAnsi="Book Antiqua"/>
          <w:sz w:val="20"/>
          <w:szCs w:val="20"/>
        </w:rPr>
        <w:t xml:space="preserve"> in the EU</w:t>
      </w:r>
      <w:r>
        <w:rPr>
          <w:rFonts w:ascii="Book Antiqua" w:hAnsi="Book Antiqua"/>
          <w:sz w:val="20"/>
          <w:szCs w:val="20"/>
        </w:rPr>
        <w:t xml:space="preserve"> </w:t>
      </w:r>
      <w:r w:rsidR="00FF23AD">
        <w:rPr>
          <w:rFonts w:ascii="Book Antiqua" w:hAnsi="Book Antiqua"/>
          <w:sz w:val="20"/>
          <w:szCs w:val="20"/>
        </w:rPr>
        <w:t>is bound to increase</w:t>
      </w:r>
      <w:r>
        <w:rPr>
          <w:rFonts w:ascii="Book Antiqua" w:hAnsi="Book Antiqua"/>
          <w:sz w:val="20"/>
          <w:szCs w:val="20"/>
        </w:rPr>
        <w:t>. This is acute in the current climate, where the state</w:t>
      </w:r>
      <w:r w:rsidR="00436EFC">
        <w:rPr>
          <w:rFonts w:ascii="Book Antiqua" w:hAnsi="Book Antiqua"/>
          <w:sz w:val="20"/>
          <w:szCs w:val="20"/>
        </w:rPr>
        <w:t>s</w:t>
      </w:r>
      <w:r>
        <w:rPr>
          <w:rFonts w:ascii="Book Antiqua" w:hAnsi="Book Antiqua"/>
          <w:sz w:val="20"/>
          <w:szCs w:val="20"/>
        </w:rPr>
        <w:t xml:space="preserve"> of emergency in many Member States has allowed legislation to be passed without parliamentary debate or other ordinary vetting procedures. </w:t>
      </w:r>
    </w:p>
    <w:sectPr w:rsidR="003F1FAC" w:rsidRPr="00473484" w:rsidSect="005870D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621E" w14:textId="77777777" w:rsidR="00E32E5D" w:rsidRDefault="00E32E5D" w:rsidP="00973FBF">
      <w:r>
        <w:separator/>
      </w:r>
    </w:p>
  </w:endnote>
  <w:endnote w:type="continuationSeparator" w:id="0">
    <w:p w14:paraId="00DE9A6C" w14:textId="77777777" w:rsidR="00E32E5D" w:rsidRDefault="00E32E5D" w:rsidP="009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771049"/>
      <w:docPartObj>
        <w:docPartGallery w:val="Page Numbers (Bottom of Page)"/>
        <w:docPartUnique/>
      </w:docPartObj>
    </w:sdtPr>
    <w:sdtEndPr>
      <w:rPr>
        <w:rStyle w:val="PageNumber"/>
      </w:rPr>
    </w:sdtEndPr>
    <w:sdtContent>
      <w:p w14:paraId="7AA14205" w14:textId="77777777" w:rsidR="002948F8" w:rsidRDefault="002948F8" w:rsidP="00E13C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EBD05" w14:textId="77777777" w:rsidR="002948F8" w:rsidRDefault="0029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ook Antiqua" w:hAnsi="Book Antiqua"/>
        <w:sz w:val="21"/>
        <w:szCs w:val="21"/>
      </w:rPr>
      <w:id w:val="-1181196629"/>
      <w:docPartObj>
        <w:docPartGallery w:val="Page Numbers (Bottom of Page)"/>
        <w:docPartUnique/>
      </w:docPartObj>
    </w:sdtPr>
    <w:sdtEndPr>
      <w:rPr>
        <w:rStyle w:val="PageNumber"/>
      </w:rPr>
    </w:sdtEndPr>
    <w:sdtContent>
      <w:p w14:paraId="18D8B74D" w14:textId="04293B98" w:rsidR="002948F8" w:rsidRPr="002948F8" w:rsidRDefault="002948F8" w:rsidP="00E13CA8">
        <w:pPr>
          <w:pStyle w:val="Footer"/>
          <w:framePr w:wrap="none" w:vAnchor="text" w:hAnchor="margin" w:xAlign="center" w:y="1"/>
          <w:rPr>
            <w:rStyle w:val="PageNumber"/>
            <w:rFonts w:ascii="Book Antiqua" w:hAnsi="Book Antiqua"/>
            <w:sz w:val="21"/>
            <w:szCs w:val="21"/>
          </w:rPr>
        </w:pPr>
        <w:r w:rsidRPr="002948F8">
          <w:rPr>
            <w:rStyle w:val="PageNumber"/>
            <w:rFonts w:ascii="Book Antiqua" w:hAnsi="Book Antiqua"/>
            <w:sz w:val="21"/>
            <w:szCs w:val="21"/>
          </w:rPr>
          <w:fldChar w:fldCharType="begin"/>
        </w:r>
        <w:r w:rsidRPr="002948F8">
          <w:rPr>
            <w:rStyle w:val="PageNumber"/>
            <w:rFonts w:ascii="Book Antiqua" w:hAnsi="Book Antiqua"/>
            <w:sz w:val="21"/>
            <w:szCs w:val="21"/>
          </w:rPr>
          <w:instrText xml:space="preserve"> PAGE </w:instrText>
        </w:r>
        <w:r w:rsidRPr="002948F8">
          <w:rPr>
            <w:rStyle w:val="PageNumber"/>
            <w:rFonts w:ascii="Book Antiqua" w:hAnsi="Book Antiqua"/>
            <w:sz w:val="21"/>
            <w:szCs w:val="21"/>
          </w:rPr>
          <w:fldChar w:fldCharType="separate"/>
        </w:r>
        <w:r w:rsidR="00C25248">
          <w:rPr>
            <w:rStyle w:val="PageNumber"/>
            <w:rFonts w:ascii="Book Antiqua" w:hAnsi="Book Antiqua"/>
            <w:noProof/>
            <w:sz w:val="21"/>
            <w:szCs w:val="21"/>
          </w:rPr>
          <w:t>4</w:t>
        </w:r>
        <w:r w:rsidRPr="002948F8">
          <w:rPr>
            <w:rStyle w:val="PageNumber"/>
            <w:rFonts w:ascii="Book Antiqua" w:hAnsi="Book Antiqua"/>
            <w:sz w:val="21"/>
            <w:szCs w:val="21"/>
          </w:rPr>
          <w:fldChar w:fldCharType="end"/>
        </w:r>
      </w:p>
    </w:sdtContent>
  </w:sdt>
  <w:tbl>
    <w:tblPr>
      <w:tblW w:w="0" w:type="auto"/>
      <w:tblLayout w:type="fixed"/>
      <w:tblLook w:val="04A0" w:firstRow="1" w:lastRow="0" w:firstColumn="1" w:lastColumn="0" w:noHBand="0" w:noVBand="1"/>
    </w:tblPr>
    <w:tblGrid>
      <w:gridCol w:w="3007"/>
      <w:gridCol w:w="3007"/>
      <w:gridCol w:w="3007"/>
    </w:tblGrid>
    <w:tr w:rsidR="613F09C8" w:rsidRPr="002948F8" w14:paraId="11048BD2" w14:textId="77777777" w:rsidTr="613F09C8">
      <w:tc>
        <w:tcPr>
          <w:tcW w:w="3007" w:type="dxa"/>
        </w:tcPr>
        <w:p w14:paraId="4CFCB7B3" w14:textId="77777777" w:rsidR="613F09C8" w:rsidRPr="002948F8" w:rsidRDefault="613F09C8" w:rsidP="613F09C8">
          <w:pPr>
            <w:pStyle w:val="Header"/>
            <w:ind w:left="-115"/>
            <w:rPr>
              <w:rFonts w:ascii="Book Antiqua" w:hAnsi="Book Antiqua"/>
              <w:sz w:val="21"/>
              <w:szCs w:val="21"/>
            </w:rPr>
          </w:pPr>
        </w:p>
      </w:tc>
      <w:tc>
        <w:tcPr>
          <w:tcW w:w="3007" w:type="dxa"/>
        </w:tcPr>
        <w:p w14:paraId="162026BF" w14:textId="77777777" w:rsidR="613F09C8" w:rsidRPr="002948F8" w:rsidRDefault="613F09C8" w:rsidP="613F09C8">
          <w:pPr>
            <w:pStyle w:val="Header"/>
            <w:jc w:val="center"/>
            <w:rPr>
              <w:rFonts w:ascii="Book Antiqua" w:hAnsi="Book Antiqua"/>
              <w:sz w:val="21"/>
              <w:szCs w:val="21"/>
            </w:rPr>
          </w:pPr>
        </w:p>
      </w:tc>
      <w:tc>
        <w:tcPr>
          <w:tcW w:w="3007" w:type="dxa"/>
        </w:tcPr>
        <w:p w14:paraId="6A7B2342" w14:textId="77777777" w:rsidR="613F09C8" w:rsidRPr="002948F8" w:rsidRDefault="613F09C8" w:rsidP="613F09C8">
          <w:pPr>
            <w:pStyle w:val="Header"/>
            <w:ind w:right="-115"/>
            <w:jc w:val="right"/>
            <w:rPr>
              <w:rFonts w:ascii="Book Antiqua" w:hAnsi="Book Antiqua"/>
              <w:sz w:val="21"/>
              <w:szCs w:val="21"/>
            </w:rPr>
          </w:pPr>
        </w:p>
      </w:tc>
    </w:tr>
  </w:tbl>
  <w:p w14:paraId="7674BFE4" w14:textId="77777777" w:rsidR="613F09C8" w:rsidRDefault="613F09C8" w:rsidP="613F0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66DE" w14:textId="77777777" w:rsidR="00135A6B" w:rsidRDefault="0013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5E68" w14:textId="77777777" w:rsidR="00E32E5D" w:rsidRDefault="00E32E5D" w:rsidP="00973FBF">
      <w:r>
        <w:separator/>
      </w:r>
    </w:p>
  </w:footnote>
  <w:footnote w:type="continuationSeparator" w:id="0">
    <w:p w14:paraId="329E2F19" w14:textId="77777777" w:rsidR="00E32E5D" w:rsidRDefault="00E32E5D" w:rsidP="009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4350" w14:textId="77777777" w:rsidR="00135A6B" w:rsidRDefault="00135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BEB7" w14:textId="77777777" w:rsidR="00973FBF" w:rsidRPr="0028389B" w:rsidRDefault="00973FBF" w:rsidP="00973FBF">
    <w:pPr>
      <w:pStyle w:val="Header"/>
      <w:rPr>
        <w:rFonts w:ascii="Book Antiqua" w:hAnsi="Book Antiqua"/>
        <w:i/>
        <w:color w:val="000000" w:themeColor="text1"/>
        <w:sz w:val="22"/>
        <w:szCs w:val="22"/>
      </w:rPr>
    </w:pPr>
    <w:r>
      <w:rPr>
        <w:noProof/>
        <w:sz w:val="20"/>
        <w:szCs w:val="20"/>
        <w:lang w:val="es-ES" w:eastAsia="es-ES"/>
      </w:rPr>
      <w:drawing>
        <wp:inline distT="0" distB="0" distL="0" distR="0" wp14:anchorId="5D7A0AAF" wp14:editId="2DF8B2A4">
          <wp:extent cx="1803400" cy="723900"/>
          <wp:effectExtent l="0" t="0" r="0" b="12700"/>
          <wp:docPr id="1" name="Picture 1" descr="Macintosh HD:Users:JTangEuclidLaw:Desktop:EUCLID: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p w14:paraId="7C2B2D2F" w14:textId="1145A1B8" w:rsidR="00973FBF" w:rsidRPr="0028389B" w:rsidRDefault="00973FBF" w:rsidP="00B07FB9">
    <w:pPr>
      <w:pStyle w:val="Header"/>
      <w:rPr>
        <w:rFonts w:ascii="Book Antiqua" w:hAnsi="Book Antiqua"/>
        <w:i/>
        <w:color w:val="000000" w:themeColor="text1"/>
        <w:sz w:val="20"/>
        <w:szCs w:val="20"/>
      </w:rPr>
    </w:pPr>
    <w:r w:rsidRPr="0028389B">
      <w:rPr>
        <w:rFonts w:ascii="Book Antiqua" w:hAnsi="Book Antiqua"/>
        <w:i/>
        <w:color w:val="000000" w:themeColor="text1"/>
        <w:sz w:val="22"/>
        <w:szCs w:val="22"/>
      </w:rPr>
      <w:tab/>
    </w:r>
    <w:r w:rsidRPr="0028389B">
      <w:rPr>
        <w:rFonts w:ascii="Book Antiqua" w:hAnsi="Book Antiqua"/>
        <w:i/>
        <w:color w:val="000000" w:themeColor="text1"/>
        <w:sz w:val="22"/>
        <w:szCs w:val="22"/>
      </w:rPr>
      <w:tab/>
    </w:r>
    <w:r w:rsidR="00B07FB9">
      <w:rPr>
        <w:rFonts w:ascii="Book Antiqua" w:hAnsi="Book Antiqua"/>
        <w:i/>
        <w:color w:val="000000" w:themeColor="text1"/>
        <w:sz w:val="20"/>
        <w:szCs w:val="20"/>
      </w:rPr>
      <w:t>Wednesda</w:t>
    </w:r>
    <w:r w:rsidR="00C178BE">
      <w:rPr>
        <w:rFonts w:ascii="Book Antiqua" w:hAnsi="Book Antiqua"/>
        <w:i/>
        <w:color w:val="000000" w:themeColor="text1"/>
        <w:sz w:val="20"/>
        <w:szCs w:val="20"/>
      </w:rPr>
      <w:t>y 13</w:t>
    </w:r>
    <w:r w:rsidR="00C178BE" w:rsidRPr="00C178BE">
      <w:rPr>
        <w:rFonts w:ascii="Book Antiqua" w:hAnsi="Book Antiqua"/>
        <w:i/>
        <w:color w:val="000000" w:themeColor="text1"/>
        <w:sz w:val="20"/>
        <w:szCs w:val="20"/>
        <w:vertAlign w:val="superscript"/>
      </w:rPr>
      <w:t>th</w:t>
    </w:r>
    <w:r w:rsidR="00C178BE">
      <w:rPr>
        <w:rFonts w:ascii="Book Antiqua" w:hAnsi="Book Antiqua"/>
        <w:i/>
        <w:color w:val="000000" w:themeColor="text1"/>
        <w:sz w:val="20"/>
        <w:szCs w:val="20"/>
      </w:rPr>
      <w:t xml:space="preserve"> May</w:t>
    </w:r>
    <w:r w:rsidR="00B07FB9">
      <w:rPr>
        <w:rFonts w:ascii="Book Antiqua" w:hAnsi="Book Antiqua"/>
        <w:i/>
        <w:color w:val="000000" w:themeColor="text1"/>
        <w:sz w:val="20"/>
        <w:szCs w:val="20"/>
        <w:vertAlign w:val="superscript"/>
      </w:rPr>
      <w:t xml:space="preserve"> </w:t>
    </w:r>
    <w:r w:rsidR="00B07FB9">
      <w:rPr>
        <w:rFonts w:ascii="Book Antiqua" w:hAnsi="Book Antiqua"/>
        <w:i/>
        <w:color w:val="000000" w:themeColor="text1"/>
        <w:sz w:val="20"/>
        <w:szCs w:val="20"/>
      </w:rPr>
      <w:t>2020</w:t>
    </w:r>
  </w:p>
  <w:p w14:paraId="1F716806" w14:textId="77777777" w:rsidR="00973FBF" w:rsidRDefault="00973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143B" w14:textId="77777777" w:rsidR="00135A6B" w:rsidRDefault="0013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35D5"/>
    <w:multiLevelType w:val="hybridMultilevel"/>
    <w:tmpl w:val="E626EB9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F921086"/>
    <w:multiLevelType w:val="hybridMultilevel"/>
    <w:tmpl w:val="0C045A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A630F95"/>
    <w:multiLevelType w:val="hybridMultilevel"/>
    <w:tmpl w:val="066252A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A9F0B28"/>
    <w:multiLevelType w:val="hybridMultilevel"/>
    <w:tmpl w:val="9C7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F73A5"/>
    <w:multiLevelType w:val="hybridMultilevel"/>
    <w:tmpl w:val="6C1255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15568A6"/>
    <w:multiLevelType w:val="hybridMultilevel"/>
    <w:tmpl w:val="E3DAD6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0E15E0D"/>
    <w:multiLevelType w:val="hybridMultilevel"/>
    <w:tmpl w:val="E3B2D0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76D555D"/>
    <w:multiLevelType w:val="hybridMultilevel"/>
    <w:tmpl w:val="158634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6D"/>
    <w:rsid w:val="0000006D"/>
    <w:rsid w:val="0005011B"/>
    <w:rsid w:val="00052F29"/>
    <w:rsid w:val="00086843"/>
    <w:rsid w:val="000A203F"/>
    <w:rsid w:val="000A7837"/>
    <w:rsid w:val="000A7FC4"/>
    <w:rsid w:val="000B46DE"/>
    <w:rsid w:val="000B4D0A"/>
    <w:rsid w:val="000D135C"/>
    <w:rsid w:val="000F08B2"/>
    <w:rsid w:val="000F27A5"/>
    <w:rsid w:val="00102EE0"/>
    <w:rsid w:val="00104C41"/>
    <w:rsid w:val="00111977"/>
    <w:rsid w:val="00135A6B"/>
    <w:rsid w:val="00155141"/>
    <w:rsid w:val="00163DA4"/>
    <w:rsid w:val="00182B6D"/>
    <w:rsid w:val="00196AE5"/>
    <w:rsid w:val="001A0FA6"/>
    <w:rsid w:val="001B412B"/>
    <w:rsid w:val="001C348F"/>
    <w:rsid w:val="001E3B89"/>
    <w:rsid w:val="001F43EF"/>
    <w:rsid w:val="002019B7"/>
    <w:rsid w:val="002175F7"/>
    <w:rsid w:val="002200D0"/>
    <w:rsid w:val="00221C4A"/>
    <w:rsid w:val="0022309F"/>
    <w:rsid w:val="00236FCB"/>
    <w:rsid w:val="00275D08"/>
    <w:rsid w:val="0027675E"/>
    <w:rsid w:val="002948F8"/>
    <w:rsid w:val="002B6976"/>
    <w:rsid w:val="002D7E8D"/>
    <w:rsid w:val="002E0E31"/>
    <w:rsid w:val="002F301F"/>
    <w:rsid w:val="002F6A94"/>
    <w:rsid w:val="002F76F0"/>
    <w:rsid w:val="00320B2F"/>
    <w:rsid w:val="00321549"/>
    <w:rsid w:val="003657DE"/>
    <w:rsid w:val="00372660"/>
    <w:rsid w:val="0038081C"/>
    <w:rsid w:val="0038364A"/>
    <w:rsid w:val="003A1186"/>
    <w:rsid w:val="003A3163"/>
    <w:rsid w:val="003A3E0A"/>
    <w:rsid w:val="003A4AD5"/>
    <w:rsid w:val="003B06FB"/>
    <w:rsid w:val="003D08B8"/>
    <w:rsid w:val="003D08BA"/>
    <w:rsid w:val="003E4772"/>
    <w:rsid w:val="003F1FAC"/>
    <w:rsid w:val="003F757C"/>
    <w:rsid w:val="00400BA7"/>
    <w:rsid w:val="00403F3A"/>
    <w:rsid w:val="004113E8"/>
    <w:rsid w:val="004144BE"/>
    <w:rsid w:val="00420EB6"/>
    <w:rsid w:val="00436EFC"/>
    <w:rsid w:val="00442E3A"/>
    <w:rsid w:val="00446A06"/>
    <w:rsid w:val="0045152B"/>
    <w:rsid w:val="00452E7B"/>
    <w:rsid w:val="00464B2D"/>
    <w:rsid w:val="00473484"/>
    <w:rsid w:val="004813A7"/>
    <w:rsid w:val="00491CE8"/>
    <w:rsid w:val="00497FAB"/>
    <w:rsid w:val="004A097B"/>
    <w:rsid w:val="004A0D61"/>
    <w:rsid w:val="004B580D"/>
    <w:rsid w:val="004C57CD"/>
    <w:rsid w:val="004D11BF"/>
    <w:rsid w:val="004D5201"/>
    <w:rsid w:val="004E268C"/>
    <w:rsid w:val="004F1566"/>
    <w:rsid w:val="004F2B29"/>
    <w:rsid w:val="00504648"/>
    <w:rsid w:val="005138C9"/>
    <w:rsid w:val="00515924"/>
    <w:rsid w:val="00520CBA"/>
    <w:rsid w:val="00522DFD"/>
    <w:rsid w:val="00530D08"/>
    <w:rsid w:val="00540745"/>
    <w:rsid w:val="005412A8"/>
    <w:rsid w:val="00545DE1"/>
    <w:rsid w:val="00553B5B"/>
    <w:rsid w:val="00553F38"/>
    <w:rsid w:val="0057104B"/>
    <w:rsid w:val="005870D8"/>
    <w:rsid w:val="0059275C"/>
    <w:rsid w:val="005B19AD"/>
    <w:rsid w:val="005B76CA"/>
    <w:rsid w:val="005D4DF9"/>
    <w:rsid w:val="005D6324"/>
    <w:rsid w:val="005E2BB7"/>
    <w:rsid w:val="005F4D98"/>
    <w:rsid w:val="00625554"/>
    <w:rsid w:val="00626867"/>
    <w:rsid w:val="00654C0B"/>
    <w:rsid w:val="00692311"/>
    <w:rsid w:val="006972E2"/>
    <w:rsid w:val="006A75D1"/>
    <w:rsid w:val="006B4529"/>
    <w:rsid w:val="006D0BD1"/>
    <w:rsid w:val="006D0FE8"/>
    <w:rsid w:val="006F12B9"/>
    <w:rsid w:val="00720786"/>
    <w:rsid w:val="00727A14"/>
    <w:rsid w:val="007A3CAD"/>
    <w:rsid w:val="007B056E"/>
    <w:rsid w:val="007B7327"/>
    <w:rsid w:val="007C2096"/>
    <w:rsid w:val="007E0960"/>
    <w:rsid w:val="007E5A16"/>
    <w:rsid w:val="007E5FFA"/>
    <w:rsid w:val="00801D56"/>
    <w:rsid w:val="00813BA1"/>
    <w:rsid w:val="00852093"/>
    <w:rsid w:val="00853B27"/>
    <w:rsid w:val="00861887"/>
    <w:rsid w:val="008962BE"/>
    <w:rsid w:val="008A656E"/>
    <w:rsid w:val="008B05D7"/>
    <w:rsid w:val="008B189F"/>
    <w:rsid w:val="008D334D"/>
    <w:rsid w:val="008D649E"/>
    <w:rsid w:val="009057E9"/>
    <w:rsid w:val="00914824"/>
    <w:rsid w:val="00915AD3"/>
    <w:rsid w:val="00946A46"/>
    <w:rsid w:val="00963C64"/>
    <w:rsid w:val="00973FBF"/>
    <w:rsid w:val="0097751B"/>
    <w:rsid w:val="00977B47"/>
    <w:rsid w:val="009A3A75"/>
    <w:rsid w:val="009C684F"/>
    <w:rsid w:val="009E3BEB"/>
    <w:rsid w:val="009E6800"/>
    <w:rsid w:val="00A06D4E"/>
    <w:rsid w:val="00A203C5"/>
    <w:rsid w:val="00A262E3"/>
    <w:rsid w:val="00A31A47"/>
    <w:rsid w:val="00A37963"/>
    <w:rsid w:val="00A97858"/>
    <w:rsid w:val="00AA2104"/>
    <w:rsid w:val="00AA5CE9"/>
    <w:rsid w:val="00AB67F9"/>
    <w:rsid w:val="00AE5FA7"/>
    <w:rsid w:val="00B07FB9"/>
    <w:rsid w:val="00B31F74"/>
    <w:rsid w:val="00B47213"/>
    <w:rsid w:val="00B54680"/>
    <w:rsid w:val="00B63A48"/>
    <w:rsid w:val="00B64E2D"/>
    <w:rsid w:val="00B767EB"/>
    <w:rsid w:val="00B829AD"/>
    <w:rsid w:val="00B875CD"/>
    <w:rsid w:val="00B92706"/>
    <w:rsid w:val="00BB1900"/>
    <w:rsid w:val="00BD078D"/>
    <w:rsid w:val="00BD32DB"/>
    <w:rsid w:val="00BE5BEC"/>
    <w:rsid w:val="00BF565E"/>
    <w:rsid w:val="00C00BF7"/>
    <w:rsid w:val="00C023B4"/>
    <w:rsid w:val="00C11B94"/>
    <w:rsid w:val="00C178BE"/>
    <w:rsid w:val="00C20763"/>
    <w:rsid w:val="00C25248"/>
    <w:rsid w:val="00C341F9"/>
    <w:rsid w:val="00C74FFF"/>
    <w:rsid w:val="00C93FEC"/>
    <w:rsid w:val="00CC1118"/>
    <w:rsid w:val="00CC5C1B"/>
    <w:rsid w:val="00CC73B7"/>
    <w:rsid w:val="00CD70A7"/>
    <w:rsid w:val="00CE35A2"/>
    <w:rsid w:val="00CF07AF"/>
    <w:rsid w:val="00D03479"/>
    <w:rsid w:val="00D24E0D"/>
    <w:rsid w:val="00D26587"/>
    <w:rsid w:val="00D47592"/>
    <w:rsid w:val="00D63E8B"/>
    <w:rsid w:val="00D7351A"/>
    <w:rsid w:val="00D97FEA"/>
    <w:rsid w:val="00DA7DA1"/>
    <w:rsid w:val="00DC4C3A"/>
    <w:rsid w:val="00DE330F"/>
    <w:rsid w:val="00DE7B94"/>
    <w:rsid w:val="00E01C55"/>
    <w:rsid w:val="00E10D6A"/>
    <w:rsid w:val="00E15CFA"/>
    <w:rsid w:val="00E178BF"/>
    <w:rsid w:val="00E32E5D"/>
    <w:rsid w:val="00E56710"/>
    <w:rsid w:val="00E617D1"/>
    <w:rsid w:val="00E70623"/>
    <w:rsid w:val="00E82D96"/>
    <w:rsid w:val="00EB1338"/>
    <w:rsid w:val="00ED39C5"/>
    <w:rsid w:val="00EF49F1"/>
    <w:rsid w:val="00F00964"/>
    <w:rsid w:val="00F23292"/>
    <w:rsid w:val="00F23F91"/>
    <w:rsid w:val="00F3457E"/>
    <w:rsid w:val="00F50367"/>
    <w:rsid w:val="00F51FD7"/>
    <w:rsid w:val="00F732B1"/>
    <w:rsid w:val="00F81BF5"/>
    <w:rsid w:val="00F865D0"/>
    <w:rsid w:val="00FC4EDB"/>
    <w:rsid w:val="00FF23AD"/>
    <w:rsid w:val="00FF3299"/>
    <w:rsid w:val="613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126"/>
  <w14:defaultImageDpi w14:val="330"/>
  <w15:chartTrackingRefBased/>
  <w15:docId w15:val="{7138EF0D-C5BE-0F4D-9A10-D11F55F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BF"/>
    <w:pPr>
      <w:tabs>
        <w:tab w:val="center" w:pos="4680"/>
        <w:tab w:val="right" w:pos="9360"/>
      </w:tabs>
    </w:pPr>
  </w:style>
  <w:style w:type="character" w:customStyle="1" w:styleId="HeaderChar">
    <w:name w:val="Header Char"/>
    <w:basedOn w:val="DefaultParagraphFont"/>
    <w:link w:val="Header"/>
    <w:uiPriority w:val="99"/>
    <w:rsid w:val="00973FBF"/>
  </w:style>
  <w:style w:type="paragraph" w:styleId="Footer">
    <w:name w:val="footer"/>
    <w:basedOn w:val="Normal"/>
    <w:link w:val="FooterChar"/>
    <w:uiPriority w:val="99"/>
    <w:unhideWhenUsed/>
    <w:rsid w:val="00973FBF"/>
    <w:pPr>
      <w:tabs>
        <w:tab w:val="center" w:pos="4680"/>
        <w:tab w:val="right" w:pos="9360"/>
      </w:tabs>
    </w:pPr>
  </w:style>
  <w:style w:type="character" w:customStyle="1" w:styleId="FooterChar">
    <w:name w:val="Footer Char"/>
    <w:basedOn w:val="DefaultParagraphFont"/>
    <w:link w:val="Footer"/>
    <w:uiPriority w:val="99"/>
    <w:rsid w:val="00973F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2EE0"/>
    <w:pPr>
      <w:ind w:left="720"/>
      <w:contextualSpacing/>
    </w:pPr>
  </w:style>
  <w:style w:type="character" w:styleId="PageNumber">
    <w:name w:val="page number"/>
    <w:basedOn w:val="DefaultParagraphFont"/>
    <w:uiPriority w:val="99"/>
    <w:semiHidden/>
    <w:unhideWhenUsed/>
    <w:rsid w:val="002948F8"/>
  </w:style>
  <w:style w:type="character" w:styleId="Hyperlink">
    <w:name w:val="Hyperlink"/>
    <w:basedOn w:val="DefaultParagraphFont"/>
    <w:uiPriority w:val="99"/>
    <w:unhideWhenUsed/>
    <w:rsid w:val="00C20763"/>
    <w:rPr>
      <w:color w:val="0563C1" w:themeColor="hyperlink"/>
      <w:u w:val="single"/>
    </w:rPr>
  </w:style>
  <w:style w:type="character" w:customStyle="1" w:styleId="UnresolvedMention1">
    <w:name w:val="Unresolved Mention1"/>
    <w:basedOn w:val="DefaultParagraphFont"/>
    <w:uiPriority w:val="99"/>
    <w:rsid w:val="00C20763"/>
    <w:rPr>
      <w:color w:val="605E5C"/>
      <w:shd w:val="clear" w:color="auto" w:fill="E1DFDD"/>
    </w:rPr>
  </w:style>
  <w:style w:type="paragraph" w:styleId="FootnoteText">
    <w:name w:val="footnote text"/>
    <w:basedOn w:val="Normal"/>
    <w:link w:val="FootnoteTextChar"/>
    <w:uiPriority w:val="99"/>
    <w:semiHidden/>
    <w:unhideWhenUsed/>
    <w:rsid w:val="00CC1118"/>
    <w:rPr>
      <w:sz w:val="20"/>
      <w:szCs w:val="20"/>
    </w:rPr>
  </w:style>
  <w:style w:type="character" w:customStyle="1" w:styleId="FootnoteTextChar">
    <w:name w:val="Footnote Text Char"/>
    <w:basedOn w:val="DefaultParagraphFont"/>
    <w:link w:val="FootnoteText"/>
    <w:uiPriority w:val="99"/>
    <w:semiHidden/>
    <w:rsid w:val="00CC1118"/>
    <w:rPr>
      <w:sz w:val="20"/>
      <w:szCs w:val="20"/>
    </w:rPr>
  </w:style>
  <w:style w:type="character" w:styleId="FootnoteReference">
    <w:name w:val="footnote reference"/>
    <w:basedOn w:val="DefaultParagraphFont"/>
    <w:uiPriority w:val="99"/>
    <w:semiHidden/>
    <w:unhideWhenUsed/>
    <w:rsid w:val="00CC1118"/>
    <w:rPr>
      <w:vertAlign w:val="superscript"/>
    </w:rPr>
  </w:style>
  <w:style w:type="character" w:styleId="FollowedHyperlink">
    <w:name w:val="FollowedHyperlink"/>
    <w:basedOn w:val="DefaultParagraphFont"/>
    <w:uiPriority w:val="99"/>
    <w:semiHidden/>
    <w:unhideWhenUsed/>
    <w:rsid w:val="007B056E"/>
    <w:rPr>
      <w:color w:val="954F72" w:themeColor="followedHyperlink"/>
      <w:u w:val="single"/>
    </w:rPr>
  </w:style>
  <w:style w:type="paragraph" w:styleId="BalloonText">
    <w:name w:val="Balloon Text"/>
    <w:basedOn w:val="Normal"/>
    <w:link w:val="BalloonTextChar"/>
    <w:uiPriority w:val="99"/>
    <w:semiHidden/>
    <w:unhideWhenUsed/>
    <w:rsid w:val="00C2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48"/>
    <w:rPr>
      <w:rFonts w:ascii="Segoe UI" w:hAnsi="Segoe UI" w:cs="Segoe UI"/>
      <w:sz w:val="18"/>
      <w:szCs w:val="18"/>
    </w:rPr>
  </w:style>
  <w:style w:type="character" w:styleId="CommentReference">
    <w:name w:val="annotation reference"/>
    <w:basedOn w:val="DefaultParagraphFont"/>
    <w:uiPriority w:val="99"/>
    <w:semiHidden/>
    <w:unhideWhenUsed/>
    <w:rsid w:val="00C25248"/>
    <w:rPr>
      <w:sz w:val="16"/>
      <w:szCs w:val="16"/>
    </w:rPr>
  </w:style>
  <w:style w:type="paragraph" w:styleId="CommentText">
    <w:name w:val="annotation text"/>
    <w:basedOn w:val="Normal"/>
    <w:link w:val="CommentTextChar"/>
    <w:uiPriority w:val="99"/>
    <w:semiHidden/>
    <w:unhideWhenUsed/>
    <w:rsid w:val="00C25248"/>
    <w:rPr>
      <w:sz w:val="20"/>
      <w:szCs w:val="20"/>
    </w:rPr>
  </w:style>
  <w:style w:type="character" w:customStyle="1" w:styleId="CommentTextChar">
    <w:name w:val="Comment Text Char"/>
    <w:basedOn w:val="DefaultParagraphFont"/>
    <w:link w:val="CommentText"/>
    <w:uiPriority w:val="99"/>
    <w:semiHidden/>
    <w:rsid w:val="00C25248"/>
    <w:rPr>
      <w:sz w:val="20"/>
      <w:szCs w:val="20"/>
    </w:rPr>
  </w:style>
  <w:style w:type="paragraph" w:styleId="CommentSubject">
    <w:name w:val="annotation subject"/>
    <w:basedOn w:val="CommentText"/>
    <w:next w:val="CommentText"/>
    <w:link w:val="CommentSubjectChar"/>
    <w:uiPriority w:val="99"/>
    <w:semiHidden/>
    <w:unhideWhenUsed/>
    <w:rsid w:val="00C25248"/>
    <w:rPr>
      <w:b/>
      <w:bCs/>
    </w:rPr>
  </w:style>
  <w:style w:type="character" w:customStyle="1" w:styleId="CommentSubjectChar">
    <w:name w:val="Comment Subject Char"/>
    <w:basedOn w:val="CommentTextChar"/>
    <w:link w:val="CommentSubject"/>
    <w:uiPriority w:val="99"/>
    <w:semiHidden/>
    <w:rsid w:val="00C25248"/>
    <w:rPr>
      <w:b/>
      <w:bCs/>
      <w:sz w:val="20"/>
      <w:szCs w:val="20"/>
    </w:rPr>
  </w:style>
  <w:style w:type="character" w:styleId="UnresolvedMention">
    <w:name w:val="Unresolved Mention"/>
    <w:basedOn w:val="DefaultParagraphFont"/>
    <w:uiPriority w:val="99"/>
    <w:semiHidden/>
    <w:unhideWhenUsed/>
    <w:rsid w:val="00F51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257">
      <w:bodyDiv w:val="1"/>
      <w:marLeft w:val="0"/>
      <w:marRight w:val="0"/>
      <w:marTop w:val="0"/>
      <w:marBottom w:val="0"/>
      <w:divBdr>
        <w:top w:val="none" w:sz="0" w:space="0" w:color="auto"/>
        <w:left w:val="none" w:sz="0" w:space="0" w:color="auto"/>
        <w:bottom w:val="none" w:sz="0" w:space="0" w:color="auto"/>
        <w:right w:val="none" w:sz="0" w:space="0" w:color="auto"/>
      </w:divBdr>
    </w:div>
    <w:div w:id="135994259">
      <w:bodyDiv w:val="1"/>
      <w:marLeft w:val="0"/>
      <w:marRight w:val="0"/>
      <w:marTop w:val="0"/>
      <w:marBottom w:val="0"/>
      <w:divBdr>
        <w:top w:val="none" w:sz="0" w:space="0" w:color="auto"/>
        <w:left w:val="none" w:sz="0" w:space="0" w:color="auto"/>
        <w:bottom w:val="none" w:sz="0" w:space="0" w:color="auto"/>
        <w:right w:val="none" w:sz="0" w:space="0" w:color="auto"/>
      </w:divBdr>
    </w:div>
    <w:div w:id="430854256">
      <w:bodyDiv w:val="1"/>
      <w:marLeft w:val="0"/>
      <w:marRight w:val="0"/>
      <w:marTop w:val="0"/>
      <w:marBottom w:val="0"/>
      <w:divBdr>
        <w:top w:val="none" w:sz="0" w:space="0" w:color="auto"/>
        <w:left w:val="none" w:sz="0" w:space="0" w:color="auto"/>
        <w:bottom w:val="none" w:sz="0" w:space="0" w:color="auto"/>
        <w:right w:val="none" w:sz="0" w:space="0" w:color="auto"/>
      </w:divBdr>
    </w:div>
    <w:div w:id="549611753">
      <w:bodyDiv w:val="1"/>
      <w:marLeft w:val="0"/>
      <w:marRight w:val="0"/>
      <w:marTop w:val="0"/>
      <w:marBottom w:val="0"/>
      <w:divBdr>
        <w:top w:val="none" w:sz="0" w:space="0" w:color="auto"/>
        <w:left w:val="none" w:sz="0" w:space="0" w:color="auto"/>
        <w:bottom w:val="none" w:sz="0" w:space="0" w:color="auto"/>
        <w:right w:val="none" w:sz="0" w:space="0" w:color="auto"/>
      </w:divBdr>
    </w:div>
    <w:div w:id="877087107">
      <w:bodyDiv w:val="1"/>
      <w:marLeft w:val="0"/>
      <w:marRight w:val="0"/>
      <w:marTop w:val="0"/>
      <w:marBottom w:val="0"/>
      <w:divBdr>
        <w:top w:val="none" w:sz="0" w:space="0" w:color="auto"/>
        <w:left w:val="none" w:sz="0" w:space="0" w:color="auto"/>
        <w:bottom w:val="none" w:sz="0" w:space="0" w:color="auto"/>
        <w:right w:val="none" w:sz="0" w:space="0" w:color="auto"/>
      </w:divBdr>
    </w:div>
    <w:div w:id="924999483">
      <w:bodyDiv w:val="1"/>
      <w:marLeft w:val="0"/>
      <w:marRight w:val="0"/>
      <w:marTop w:val="0"/>
      <w:marBottom w:val="0"/>
      <w:divBdr>
        <w:top w:val="none" w:sz="0" w:space="0" w:color="auto"/>
        <w:left w:val="none" w:sz="0" w:space="0" w:color="auto"/>
        <w:bottom w:val="none" w:sz="0" w:space="0" w:color="auto"/>
        <w:right w:val="none" w:sz="0" w:space="0" w:color="auto"/>
      </w:divBdr>
    </w:div>
    <w:div w:id="986475098">
      <w:bodyDiv w:val="1"/>
      <w:marLeft w:val="0"/>
      <w:marRight w:val="0"/>
      <w:marTop w:val="0"/>
      <w:marBottom w:val="0"/>
      <w:divBdr>
        <w:top w:val="none" w:sz="0" w:space="0" w:color="auto"/>
        <w:left w:val="none" w:sz="0" w:space="0" w:color="auto"/>
        <w:bottom w:val="none" w:sz="0" w:space="0" w:color="auto"/>
        <w:right w:val="none" w:sz="0" w:space="0" w:color="auto"/>
      </w:divBdr>
    </w:div>
    <w:div w:id="1110858398">
      <w:bodyDiv w:val="1"/>
      <w:marLeft w:val="0"/>
      <w:marRight w:val="0"/>
      <w:marTop w:val="0"/>
      <w:marBottom w:val="0"/>
      <w:divBdr>
        <w:top w:val="none" w:sz="0" w:space="0" w:color="auto"/>
        <w:left w:val="none" w:sz="0" w:space="0" w:color="auto"/>
        <w:bottom w:val="none" w:sz="0" w:space="0" w:color="auto"/>
        <w:right w:val="none" w:sz="0" w:space="0" w:color="auto"/>
      </w:divBdr>
    </w:div>
    <w:div w:id="1357271678">
      <w:bodyDiv w:val="1"/>
      <w:marLeft w:val="0"/>
      <w:marRight w:val="0"/>
      <w:marTop w:val="0"/>
      <w:marBottom w:val="0"/>
      <w:divBdr>
        <w:top w:val="none" w:sz="0" w:space="0" w:color="auto"/>
        <w:left w:val="none" w:sz="0" w:space="0" w:color="auto"/>
        <w:bottom w:val="none" w:sz="0" w:space="0" w:color="auto"/>
        <w:right w:val="none" w:sz="0" w:space="0" w:color="auto"/>
      </w:divBdr>
    </w:div>
    <w:div w:id="1424910931">
      <w:bodyDiv w:val="1"/>
      <w:marLeft w:val="0"/>
      <w:marRight w:val="0"/>
      <w:marTop w:val="0"/>
      <w:marBottom w:val="0"/>
      <w:divBdr>
        <w:top w:val="none" w:sz="0" w:space="0" w:color="auto"/>
        <w:left w:val="none" w:sz="0" w:space="0" w:color="auto"/>
        <w:bottom w:val="none" w:sz="0" w:space="0" w:color="auto"/>
        <w:right w:val="none" w:sz="0" w:space="0" w:color="auto"/>
      </w:divBdr>
    </w:div>
    <w:div w:id="1599483153">
      <w:bodyDiv w:val="1"/>
      <w:marLeft w:val="0"/>
      <w:marRight w:val="0"/>
      <w:marTop w:val="0"/>
      <w:marBottom w:val="0"/>
      <w:divBdr>
        <w:top w:val="none" w:sz="0" w:space="0" w:color="auto"/>
        <w:left w:val="none" w:sz="0" w:space="0" w:color="auto"/>
        <w:bottom w:val="none" w:sz="0" w:space="0" w:color="auto"/>
        <w:right w:val="none" w:sz="0" w:space="0" w:color="auto"/>
      </w:divBdr>
    </w:div>
    <w:div w:id="1699620849">
      <w:bodyDiv w:val="1"/>
      <w:marLeft w:val="0"/>
      <w:marRight w:val="0"/>
      <w:marTop w:val="0"/>
      <w:marBottom w:val="0"/>
      <w:divBdr>
        <w:top w:val="none" w:sz="0" w:space="0" w:color="auto"/>
        <w:left w:val="none" w:sz="0" w:space="0" w:color="auto"/>
        <w:bottom w:val="none" w:sz="0" w:space="0" w:color="auto"/>
        <w:right w:val="none" w:sz="0" w:space="0" w:color="auto"/>
      </w:divBdr>
    </w:div>
    <w:div w:id="1843544040">
      <w:bodyDiv w:val="1"/>
      <w:marLeft w:val="0"/>
      <w:marRight w:val="0"/>
      <w:marTop w:val="0"/>
      <w:marBottom w:val="0"/>
      <w:divBdr>
        <w:top w:val="none" w:sz="0" w:space="0" w:color="auto"/>
        <w:left w:val="none" w:sz="0" w:space="0" w:color="auto"/>
        <w:bottom w:val="none" w:sz="0" w:space="0" w:color="auto"/>
        <w:right w:val="none" w:sz="0" w:space="0" w:color="auto"/>
      </w:divBdr>
    </w:div>
    <w:div w:id="2085451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lid-law.eu/index.php/2020/04/14/webinar-dg-trades-carlo-pettinato-on-foreign-direct-investment-contr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lex.europa.eu/legal-content/EN/TXT/HTML/?uri=CELEX:32019R0452&amp;from=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Isabella Harris</cp:lastModifiedBy>
  <cp:revision>3</cp:revision>
  <dcterms:created xsi:type="dcterms:W3CDTF">2020-05-22T07:17:00Z</dcterms:created>
  <dcterms:modified xsi:type="dcterms:W3CDTF">2020-05-22T07:18:00Z</dcterms:modified>
</cp:coreProperties>
</file>