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A94C9" w14:textId="6A13B613" w:rsidR="005F4D98" w:rsidRPr="005D4DF9" w:rsidRDefault="00B07FB9" w:rsidP="00B07FB9">
      <w:pPr>
        <w:jc w:val="center"/>
        <w:rPr>
          <w:rFonts w:ascii="Book Antiqua" w:hAnsi="Book Antiqua"/>
          <w:b/>
          <w:sz w:val="20"/>
          <w:szCs w:val="20"/>
          <w:u w:val="single"/>
        </w:rPr>
      </w:pPr>
      <w:r w:rsidRPr="005D4DF9">
        <w:rPr>
          <w:rFonts w:ascii="Book Antiqua" w:hAnsi="Book Antiqua"/>
          <w:b/>
          <w:sz w:val="20"/>
          <w:szCs w:val="20"/>
          <w:u w:val="single"/>
        </w:rPr>
        <w:t xml:space="preserve">Notes </w:t>
      </w:r>
      <w:r w:rsidR="003A3E0A" w:rsidRPr="005D4DF9">
        <w:rPr>
          <w:rFonts w:ascii="Book Antiqua" w:hAnsi="Book Antiqua"/>
          <w:b/>
          <w:sz w:val="20"/>
          <w:szCs w:val="20"/>
          <w:u w:val="single"/>
        </w:rPr>
        <w:t>from</w:t>
      </w:r>
      <w:r w:rsidRPr="005D4DF9">
        <w:rPr>
          <w:rFonts w:ascii="Book Antiqua" w:hAnsi="Book Antiqua"/>
          <w:b/>
          <w:sz w:val="20"/>
          <w:szCs w:val="20"/>
          <w:u w:val="single"/>
        </w:rPr>
        <w:t xml:space="preserve"> webinar with DG Trade’s Carlo Pettinato on foreign direct investment controls</w:t>
      </w:r>
    </w:p>
    <w:p w14:paraId="591CCD5C" w14:textId="77777777" w:rsidR="00B07FB9" w:rsidRPr="005D4DF9" w:rsidRDefault="00B07FB9" w:rsidP="00B07FB9">
      <w:pPr>
        <w:jc w:val="center"/>
        <w:rPr>
          <w:rFonts w:ascii="Book Antiqua" w:hAnsi="Book Antiqua"/>
          <w:b/>
          <w:sz w:val="20"/>
          <w:szCs w:val="20"/>
          <w:u w:val="single"/>
        </w:rPr>
      </w:pPr>
    </w:p>
    <w:p w14:paraId="624AAC4C" w14:textId="77777777" w:rsidR="00914824" w:rsidRPr="005D4DF9" w:rsidRDefault="00914824" w:rsidP="00B07FB9">
      <w:pPr>
        <w:rPr>
          <w:rFonts w:ascii="Book Antiqua" w:hAnsi="Book Antiqua"/>
          <w:b/>
          <w:sz w:val="20"/>
          <w:szCs w:val="20"/>
          <w:u w:val="single"/>
        </w:rPr>
      </w:pPr>
    </w:p>
    <w:p w14:paraId="4117CC7A" w14:textId="58EA0540" w:rsidR="00B07FB9" w:rsidRPr="005D4DF9" w:rsidRDefault="00B07FB9" w:rsidP="00B07FB9">
      <w:pPr>
        <w:spacing w:before="240" w:after="240" w:line="276" w:lineRule="auto"/>
        <w:jc w:val="both"/>
        <w:rPr>
          <w:rFonts w:ascii="Book Antiqua" w:hAnsi="Book Antiqua"/>
          <w:sz w:val="20"/>
          <w:szCs w:val="20"/>
        </w:rPr>
      </w:pPr>
      <w:r w:rsidRPr="005D4DF9">
        <w:rPr>
          <w:rFonts w:ascii="Book Antiqua" w:hAnsi="Book Antiqua"/>
          <w:b/>
          <w:bCs/>
          <w:sz w:val="20"/>
          <w:szCs w:val="20"/>
        </w:rPr>
        <w:t>Topic</w:t>
      </w:r>
      <w:r w:rsidRPr="005D4DF9">
        <w:rPr>
          <w:rFonts w:ascii="Book Antiqua" w:hAnsi="Book Antiqua"/>
          <w:sz w:val="20"/>
          <w:szCs w:val="20"/>
        </w:rPr>
        <w:t>: foreign direct investment (“</w:t>
      </w:r>
      <w:r w:rsidRPr="005D4DF9">
        <w:rPr>
          <w:rFonts w:ascii="Book Antiqua" w:hAnsi="Book Antiqua"/>
          <w:b/>
          <w:bCs/>
          <w:sz w:val="20"/>
          <w:szCs w:val="20"/>
        </w:rPr>
        <w:t>FDI</w:t>
      </w:r>
      <w:r w:rsidRPr="005D4DF9">
        <w:rPr>
          <w:rFonts w:ascii="Book Antiqua" w:hAnsi="Book Antiqua"/>
          <w:sz w:val="20"/>
          <w:szCs w:val="20"/>
        </w:rPr>
        <w:t>”) screening mechanisms and the approach of the European Commission (the “</w:t>
      </w:r>
      <w:r w:rsidRPr="005D4DF9">
        <w:rPr>
          <w:rFonts w:ascii="Book Antiqua" w:hAnsi="Book Antiqua"/>
          <w:b/>
          <w:bCs/>
          <w:sz w:val="20"/>
          <w:szCs w:val="20"/>
        </w:rPr>
        <w:t>Commission</w:t>
      </w:r>
      <w:r w:rsidRPr="005D4DF9">
        <w:rPr>
          <w:rFonts w:ascii="Book Antiqua" w:hAnsi="Book Antiqua"/>
          <w:sz w:val="20"/>
          <w:szCs w:val="20"/>
        </w:rPr>
        <w:t>”)</w:t>
      </w:r>
      <w:r w:rsidR="00B63A48" w:rsidRPr="005D4DF9">
        <w:rPr>
          <w:rFonts w:ascii="Book Antiqua" w:hAnsi="Book Antiqua"/>
          <w:sz w:val="20"/>
          <w:szCs w:val="20"/>
        </w:rPr>
        <w:t xml:space="preserve"> during the COVID-19 crisis</w:t>
      </w:r>
      <w:r w:rsidRPr="005D4DF9">
        <w:rPr>
          <w:rFonts w:ascii="Book Antiqua" w:hAnsi="Book Antiqua"/>
          <w:sz w:val="20"/>
          <w:szCs w:val="20"/>
        </w:rPr>
        <w:t xml:space="preserve">. </w:t>
      </w:r>
    </w:p>
    <w:p w14:paraId="490C3864" w14:textId="426ED2B7" w:rsidR="00B07FB9" w:rsidRPr="005D4DF9" w:rsidRDefault="00B07FB9" w:rsidP="00B07FB9">
      <w:pPr>
        <w:spacing w:before="240" w:after="240" w:line="276" w:lineRule="auto"/>
        <w:jc w:val="both"/>
        <w:rPr>
          <w:rFonts w:ascii="Book Antiqua" w:hAnsi="Book Antiqua"/>
          <w:sz w:val="20"/>
          <w:szCs w:val="20"/>
        </w:rPr>
      </w:pPr>
      <w:r w:rsidRPr="005D4DF9">
        <w:rPr>
          <w:rFonts w:ascii="Book Antiqua" w:hAnsi="Book Antiqua"/>
          <w:b/>
          <w:bCs/>
          <w:sz w:val="20"/>
          <w:szCs w:val="20"/>
        </w:rPr>
        <w:t>Chair</w:t>
      </w:r>
      <w:r w:rsidRPr="005D4DF9">
        <w:rPr>
          <w:rFonts w:ascii="Book Antiqua" w:hAnsi="Book Antiqua"/>
          <w:sz w:val="20"/>
          <w:szCs w:val="20"/>
        </w:rPr>
        <w:t>: Oliver Bretz, Founding Partner</w:t>
      </w:r>
      <w:r w:rsidR="003F757C" w:rsidRPr="005D4DF9">
        <w:rPr>
          <w:rFonts w:ascii="Book Antiqua" w:hAnsi="Book Antiqua"/>
          <w:sz w:val="20"/>
          <w:szCs w:val="20"/>
        </w:rPr>
        <w:t>—</w:t>
      </w:r>
      <w:r w:rsidRPr="005D4DF9">
        <w:rPr>
          <w:rFonts w:ascii="Book Antiqua" w:hAnsi="Book Antiqua"/>
          <w:sz w:val="20"/>
          <w:szCs w:val="20"/>
        </w:rPr>
        <w:t>Euclid Law.</w:t>
      </w:r>
    </w:p>
    <w:p w14:paraId="74DC2686" w14:textId="19B89C26" w:rsidR="00B07FB9" w:rsidRPr="005D4DF9" w:rsidRDefault="00CF07AF" w:rsidP="003F757C">
      <w:pPr>
        <w:spacing w:before="240" w:after="240" w:line="276" w:lineRule="auto"/>
        <w:jc w:val="both"/>
        <w:rPr>
          <w:rFonts w:ascii="Book Antiqua" w:hAnsi="Book Antiqua"/>
          <w:sz w:val="20"/>
          <w:szCs w:val="20"/>
        </w:rPr>
      </w:pPr>
      <w:r w:rsidRPr="005D4DF9">
        <w:rPr>
          <w:rFonts w:ascii="Book Antiqua" w:hAnsi="Book Antiqua"/>
          <w:b/>
          <w:bCs/>
          <w:sz w:val="20"/>
          <w:szCs w:val="20"/>
        </w:rPr>
        <w:t>S</w:t>
      </w:r>
      <w:r w:rsidR="00B07FB9" w:rsidRPr="005D4DF9">
        <w:rPr>
          <w:rFonts w:ascii="Book Antiqua" w:hAnsi="Book Antiqua"/>
          <w:b/>
          <w:bCs/>
          <w:sz w:val="20"/>
          <w:szCs w:val="20"/>
        </w:rPr>
        <w:t>peakers</w:t>
      </w:r>
      <w:r w:rsidR="00B07FB9" w:rsidRPr="005D4DF9">
        <w:rPr>
          <w:rFonts w:ascii="Book Antiqua" w:hAnsi="Book Antiqua"/>
          <w:sz w:val="20"/>
          <w:szCs w:val="20"/>
        </w:rPr>
        <w:t xml:space="preserve">: </w:t>
      </w:r>
    </w:p>
    <w:p w14:paraId="3CBEC67C" w14:textId="679E7538" w:rsidR="00B07FB9" w:rsidRPr="005D4DF9" w:rsidRDefault="00B07FB9" w:rsidP="003F757C">
      <w:pPr>
        <w:pStyle w:val="ListParagraph"/>
        <w:numPr>
          <w:ilvl w:val="0"/>
          <w:numId w:val="2"/>
        </w:numPr>
        <w:spacing w:before="240" w:after="240" w:line="276" w:lineRule="auto"/>
        <w:jc w:val="both"/>
        <w:rPr>
          <w:rFonts w:ascii="Book Antiqua" w:hAnsi="Book Antiqua"/>
          <w:sz w:val="20"/>
          <w:szCs w:val="20"/>
        </w:rPr>
      </w:pPr>
      <w:r w:rsidRPr="005D4DF9">
        <w:rPr>
          <w:rFonts w:ascii="Book Antiqua" w:hAnsi="Book Antiqua"/>
          <w:sz w:val="20"/>
          <w:szCs w:val="20"/>
        </w:rPr>
        <w:t>Carlo Pettinato, Head of Investment Policy Unit</w:t>
      </w:r>
      <w:r w:rsidR="003F757C" w:rsidRPr="005D4DF9">
        <w:rPr>
          <w:rFonts w:ascii="Book Antiqua" w:hAnsi="Book Antiqua"/>
          <w:sz w:val="20"/>
          <w:szCs w:val="20"/>
        </w:rPr>
        <w:t>—DG Trade</w:t>
      </w:r>
      <w:r w:rsidR="00B63A48" w:rsidRPr="005D4DF9">
        <w:rPr>
          <w:rFonts w:ascii="Book Antiqua" w:hAnsi="Book Antiqua"/>
          <w:sz w:val="20"/>
          <w:szCs w:val="20"/>
        </w:rPr>
        <w:t>, European Commission</w:t>
      </w:r>
      <w:r w:rsidRPr="005D4DF9">
        <w:rPr>
          <w:rFonts w:ascii="Book Antiqua" w:hAnsi="Book Antiqua"/>
          <w:sz w:val="20"/>
          <w:szCs w:val="20"/>
        </w:rPr>
        <w:t>;</w:t>
      </w:r>
    </w:p>
    <w:p w14:paraId="7FCFD0E1" w14:textId="21928DE9" w:rsidR="003F757C" w:rsidRPr="005D4DF9" w:rsidRDefault="003F757C" w:rsidP="003F757C">
      <w:pPr>
        <w:pStyle w:val="ListParagraph"/>
        <w:numPr>
          <w:ilvl w:val="0"/>
          <w:numId w:val="2"/>
        </w:numPr>
        <w:spacing w:before="240" w:after="240" w:line="276" w:lineRule="auto"/>
        <w:jc w:val="both"/>
        <w:rPr>
          <w:rFonts w:ascii="Book Antiqua" w:hAnsi="Book Antiqua"/>
          <w:sz w:val="20"/>
          <w:szCs w:val="20"/>
        </w:rPr>
      </w:pPr>
      <w:r w:rsidRPr="005D4DF9">
        <w:rPr>
          <w:rFonts w:ascii="Book Antiqua" w:hAnsi="Book Antiqua"/>
          <w:sz w:val="20"/>
          <w:szCs w:val="20"/>
        </w:rPr>
        <w:t>Manuel Vélez Fraga, Partner—Uria; and</w:t>
      </w:r>
    </w:p>
    <w:p w14:paraId="0BFFB30C" w14:textId="11F865D1" w:rsidR="00CF07AF" w:rsidRPr="005D4DF9" w:rsidRDefault="00B07FB9" w:rsidP="00B63A48">
      <w:pPr>
        <w:pStyle w:val="ListParagraph"/>
        <w:numPr>
          <w:ilvl w:val="0"/>
          <w:numId w:val="2"/>
        </w:numPr>
        <w:spacing w:before="240" w:after="240" w:line="276" w:lineRule="auto"/>
        <w:jc w:val="both"/>
        <w:rPr>
          <w:rFonts w:ascii="Book Antiqua" w:hAnsi="Book Antiqua"/>
          <w:sz w:val="20"/>
          <w:szCs w:val="20"/>
        </w:rPr>
      </w:pPr>
      <w:r w:rsidRPr="005D4DF9">
        <w:rPr>
          <w:rFonts w:ascii="Book Antiqua" w:hAnsi="Book Antiqua"/>
          <w:sz w:val="20"/>
          <w:szCs w:val="20"/>
        </w:rPr>
        <w:t xml:space="preserve">Alan Riley, </w:t>
      </w:r>
      <w:r w:rsidR="00086843" w:rsidRPr="005D4DF9">
        <w:rPr>
          <w:rFonts w:ascii="Book Antiqua" w:hAnsi="Book Antiqua"/>
          <w:sz w:val="20"/>
          <w:szCs w:val="20"/>
        </w:rPr>
        <w:t>Senior Fellow</w:t>
      </w:r>
      <w:r w:rsidR="00BD32DB" w:rsidRPr="005D4DF9">
        <w:rPr>
          <w:rFonts w:ascii="Book Antiqua" w:hAnsi="Book Antiqua"/>
          <w:sz w:val="20"/>
          <w:szCs w:val="20"/>
        </w:rPr>
        <w:t>—</w:t>
      </w:r>
      <w:r w:rsidR="00086843" w:rsidRPr="005D4DF9">
        <w:rPr>
          <w:rFonts w:ascii="Book Antiqua" w:hAnsi="Book Antiqua"/>
          <w:sz w:val="20"/>
          <w:szCs w:val="20"/>
        </w:rPr>
        <w:t>Atlantic Council.</w:t>
      </w:r>
    </w:p>
    <w:p w14:paraId="3CF5AFCB" w14:textId="77777777" w:rsidR="00B63A48" w:rsidRPr="005D4DF9" w:rsidRDefault="00B63A48" w:rsidP="00B63A48">
      <w:pPr>
        <w:pStyle w:val="ListParagraph"/>
        <w:spacing w:before="240" w:after="240" w:line="276" w:lineRule="auto"/>
        <w:ind w:left="360"/>
        <w:jc w:val="both"/>
        <w:rPr>
          <w:rFonts w:ascii="Book Antiqua" w:hAnsi="Book Antiqua"/>
          <w:sz w:val="20"/>
          <w:szCs w:val="20"/>
        </w:rPr>
      </w:pPr>
    </w:p>
    <w:p w14:paraId="5D737D50" w14:textId="5F261890" w:rsidR="00B07FB9" w:rsidRPr="005D4DF9" w:rsidRDefault="00CF07AF" w:rsidP="00CF07AF">
      <w:pPr>
        <w:spacing w:before="240" w:after="240" w:line="276" w:lineRule="auto"/>
        <w:jc w:val="both"/>
        <w:rPr>
          <w:rFonts w:ascii="Book Antiqua" w:hAnsi="Book Antiqua"/>
          <w:b/>
          <w:bCs/>
          <w:sz w:val="20"/>
          <w:szCs w:val="20"/>
        </w:rPr>
      </w:pPr>
      <w:r w:rsidRPr="005D4DF9">
        <w:rPr>
          <w:rFonts w:ascii="Book Antiqua" w:hAnsi="Book Antiqua"/>
          <w:b/>
          <w:bCs/>
          <w:sz w:val="20"/>
          <w:szCs w:val="20"/>
        </w:rPr>
        <w:t>Discussion:</w:t>
      </w:r>
    </w:p>
    <w:p w14:paraId="53894120" w14:textId="115C865D" w:rsidR="001C348F" w:rsidRPr="005D4DF9" w:rsidRDefault="001C348F" w:rsidP="00CF07AF">
      <w:pPr>
        <w:spacing w:before="240" w:after="240" w:line="276" w:lineRule="auto"/>
        <w:jc w:val="both"/>
        <w:rPr>
          <w:rFonts w:ascii="Book Antiqua" w:hAnsi="Book Antiqua"/>
          <w:b/>
          <w:bCs/>
          <w:sz w:val="20"/>
          <w:szCs w:val="20"/>
        </w:rPr>
      </w:pPr>
      <w:r w:rsidRPr="005D4DF9">
        <w:rPr>
          <w:rFonts w:ascii="Book Antiqua" w:hAnsi="Book Antiqua"/>
          <w:b/>
          <w:bCs/>
          <w:sz w:val="20"/>
          <w:szCs w:val="20"/>
        </w:rPr>
        <w:t>CARLO PETTINATO</w:t>
      </w:r>
      <w:r w:rsidR="00530D08" w:rsidRPr="005D4DF9">
        <w:rPr>
          <w:rFonts w:ascii="Book Antiqua" w:hAnsi="Book Antiqua"/>
          <w:b/>
          <w:bCs/>
          <w:sz w:val="20"/>
          <w:szCs w:val="20"/>
        </w:rPr>
        <w:t xml:space="preserve"> (the EU FDI guidelines issued with the COVID-19 crisis communication)</w:t>
      </w:r>
    </w:p>
    <w:p w14:paraId="02A25608" w14:textId="2B796526" w:rsidR="001C348F" w:rsidRPr="005D4DF9" w:rsidRDefault="00B07FB9" w:rsidP="001C348F">
      <w:pPr>
        <w:pStyle w:val="ListParagraph"/>
        <w:numPr>
          <w:ilvl w:val="0"/>
          <w:numId w:val="2"/>
        </w:numPr>
        <w:spacing w:before="240" w:after="240" w:line="276" w:lineRule="auto"/>
        <w:jc w:val="both"/>
        <w:rPr>
          <w:rFonts w:ascii="Book Antiqua" w:hAnsi="Book Antiqua"/>
          <w:sz w:val="20"/>
          <w:szCs w:val="20"/>
        </w:rPr>
      </w:pPr>
      <w:r w:rsidRPr="005D4DF9">
        <w:rPr>
          <w:rFonts w:ascii="Book Antiqua" w:hAnsi="Book Antiqua"/>
          <w:sz w:val="20"/>
          <w:szCs w:val="20"/>
        </w:rPr>
        <w:t xml:space="preserve">On 25 March 2020 the European Commission issued </w:t>
      </w:r>
      <w:hyperlink r:id="rId12" w:history="1">
        <w:r w:rsidR="00320B2F" w:rsidRPr="005D4DF9">
          <w:rPr>
            <w:rStyle w:val="Hyperlink"/>
            <w:rFonts w:ascii="Book Antiqua" w:hAnsi="Book Antiqua"/>
            <w:sz w:val="20"/>
            <w:szCs w:val="20"/>
          </w:rPr>
          <w:t>Guidance to the Member States concerning foreign direct investment and free movement of capital from third countries, and the protection of Europe’s strategic assets</w:t>
        </w:r>
      </w:hyperlink>
      <w:r w:rsidR="00320B2F" w:rsidRPr="005D4DF9">
        <w:rPr>
          <w:rFonts w:ascii="Book Antiqua" w:hAnsi="Book Antiqua"/>
          <w:sz w:val="20"/>
          <w:szCs w:val="20"/>
        </w:rPr>
        <w:t xml:space="preserve"> (the “</w:t>
      </w:r>
      <w:r w:rsidR="00320B2F" w:rsidRPr="005D4DF9">
        <w:rPr>
          <w:rFonts w:ascii="Book Antiqua" w:hAnsi="Book Antiqua"/>
          <w:b/>
          <w:bCs/>
          <w:sz w:val="20"/>
          <w:szCs w:val="20"/>
        </w:rPr>
        <w:t>Guidelines</w:t>
      </w:r>
      <w:r w:rsidR="00320B2F" w:rsidRPr="005D4DF9">
        <w:rPr>
          <w:rFonts w:ascii="Book Antiqua" w:hAnsi="Book Antiqua"/>
          <w:sz w:val="20"/>
          <w:szCs w:val="20"/>
        </w:rPr>
        <w:t xml:space="preserve">”), ahead of the application of </w:t>
      </w:r>
      <w:hyperlink r:id="rId13" w:history="1">
        <w:r w:rsidR="00320B2F" w:rsidRPr="005D4DF9">
          <w:rPr>
            <w:rStyle w:val="Hyperlink"/>
            <w:rFonts w:ascii="Book Antiqua" w:hAnsi="Book Antiqua"/>
            <w:sz w:val="20"/>
            <w:szCs w:val="20"/>
          </w:rPr>
          <w:t>Regulation (EU) 2019/452</w:t>
        </w:r>
      </w:hyperlink>
      <w:r w:rsidR="00320B2F" w:rsidRPr="005D4DF9">
        <w:rPr>
          <w:rFonts w:ascii="Book Antiqua" w:hAnsi="Book Antiqua"/>
          <w:sz w:val="20"/>
          <w:szCs w:val="20"/>
        </w:rPr>
        <w:t xml:space="preserve"> (the “</w:t>
      </w:r>
      <w:r w:rsidR="00320B2F" w:rsidRPr="005D4DF9">
        <w:rPr>
          <w:rFonts w:ascii="Book Antiqua" w:hAnsi="Book Antiqua"/>
          <w:b/>
          <w:bCs/>
          <w:sz w:val="20"/>
          <w:szCs w:val="20"/>
        </w:rPr>
        <w:t>FDI Screening Regulation</w:t>
      </w:r>
      <w:r w:rsidR="00320B2F" w:rsidRPr="005D4DF9">
        <w:rPr>
          <w:rFonts w:ascii="Book Antiqua" w:hAnsi="Book Antiqua"/>
          <w:sz w:val="20"/>
          <w:szCs w:val="20"/>
        </w:rPr>
        <w:t>”)</w:t>
      </w:r>
      <w:r w:rsidR="00B63A48" w:rsidRPr="005D4DF9">
        <w:rPr>
          <w:rFonts w:ascii="Book Antiqua" w:hAnsi="Book Antiqua"/>
          <w:sz w:val="20"/>
          <w:szCs w:val="20"/>
        </w:rPr>
        <w:t xml:space="preserve"> in October 2020</w:t>
      </w:r>
      <w:r w:rsidR="00320B2F" w:rsidRPr="005D4DF9">
        <w:rPr>
          <w:rFonts w:ascii="Book Antiqua" w:hAnsi="Book Antiqua"/>
          <w:sz w:val="20"/>
          <w:szCs w:val="20"/>
        </w:rPr>
        <w:t xml:space="preserve">.  This was </w:t>
      </w:r>
      <w:r w:rsidRPr="005D4DF9">
        <w:rPr>
          <w:rFonts w:ascii="Book Antiqua" w:hAnsi="Book Antiqua"/>
          <w:sz w:val="20"/>
          <w:szCs w:val="20"/>
        </w:rPr>
        <w:t>addressed to Member States setting out</w:t>
      </w:r>
      <w:r w:rsidR="00320B2F" w:rsidRPr="005D4DF9">
        <w:rPr>
          <w:rFonts w:ascii="Book Antiqua" w:hAnsi="Book Antiqua"/>
          <w:sz w:val="20"/>
          <w:szCs w:val="20"/>
        </w:rPr>
        <w:t xml:space="preserve"> </w:t>
      </w:r>
      <w:r w:rsidR="00B63A48" w:rsidRPr="005D4DF9">
        <w:rPr>
          <w:rFonts w:ascii="Book Antiqua" w:hAnsi="Book Antiqua"/>
          <w:sz w:val="20"/>
          <w:szCs w:val="20"/>
        </w:rPr>
        <w:t xml:space="preserve">what </w:t>
      </w:r>
      <w:r w:rsidR="00320B2F" w:rsidRPr="005D4DF9">
        <w:rPr>
          <w:rFonts w:ascii="Book Antiqua" w:hAnsi="Book Antiqua"/>
          <w:sz w:val="20"/>
          <w:szCs w:val="20"/>
        </w:rPr>
        <w:t xml:space="preserve">they </w:t>
      </w:r>
      <w:r w:rsidR="00B63A48" w:rsidRPr="005D4DF9">
        <w:rPr>
          <w:rFonts w:ascii="Book Antiqua" w:hAnsi="Book Antiqua"/>
          <w:sz w:val="20"/>
          <w:szCs w:val="20"/>
        </w:rPr>
        <w:t xml:space="preserve">can </w:t>
      </w:r>
      <w:r w:rsidR="00320B2F" w:rsidRPr="005D4DF9">
        <w:rPr>
          <w:rFonts w:ascii="Book Antiqua" w:hAnsi="Book Antiqua"/>
          <w:sz w:val="20"/>
          <w:szCs w:val="20"/>
        </w:rPr>
        <w:t xml:space="preserve">do in advance of the </w:t>
      </w:r>
      <w:r w:rsidR="00C20763" w:rsidRPr="005D4DF9">
        <w:rPr>
          <w:rFonts w:ascii="Book Antiqua" w:hAnsi="Book Antiqua"/>
          <w:sz w:val="20"/>
          <w:szCs w:val="20"/>
        </w:rPr>
        <w:t>FDI Screening Regulation mechanism coming into force</w:t>
      </w:r>
      <w:r w:rsidR="00B63A48" w:rsidRPr="005D4DF9">
        <w:rPr>
          <w:rFonts w:ascii="Book Antiqua" w:hAnsi="Book Antiqua"/>
          <w:sz w:val="20"/>
          <w:szCs w:val="20"/>
        </w:rPr>
        <w:t>.</w:t>
      </w:r>
      <w:r w:rsidR="00C20763" w:rsidRPr="005D4DF9">
        <w:rPr>
          <w:rFonts w:ascii="Book Antiqua" w:hAnsi="Book Antiqua"/>
          <w:sz w:val="20"/>
          <w:szCs w:val="20"/>
        </w:rPr>
        <w:t xml:space="preserve">  The document was </w:t>
      </w:r>
      <w:r w:rsidRPr="005D4DF9">
        <w:rPr>
          <w:rFonts w:ascii="Book Antiqua" w:hAnsi="Book Antiqua"/>
          <w:sz w:val="20"/>
          <w:szCs w:val="20"/>
        </w:rPr>
        <w:t xml:space="preserve">part of the overall Commission response to the COVID-19 </w:t>
      </w:r>
      <w:r w:rsidR="00C20763" w:rsidRPr="005D4DF9">
        <w:rPr>
          <w:rFonts w:ascii="Book Antiqua" w:hAnsi="Book Antiqua"/>
          <w:sz w:val="20"/>
          <w:szCs w:val="20"/>
        </w:rPr>
        <w:t>crisis</w:t>
      </w:r>
      <w:r w:rsidRPr="005D4DF9">
        <w:rPr>
          <w:rFonts w:ascii="Book Antiqua" w:hAnsi="Book Antiqua"/>
          <w:sz w:val="20"/>
          <w:szCs w:val="20"/>
        </w:rPr>
        <w:t xml:space="preserve">. </w:t>
      </w:r>
    </w:p>
    <w:p w14:paraId="08E3FC50" w14:textId="77777777" w:rsidR="00B07FB9" w:rsidRPr="005D4DF9" w:rsidRDefault="00B07FB9" w:rsidP="00B07FB9">
      <w:pPr>
        <w:pStyle w:val="ListParagraph"/>
        <w:spacing w:before="240" w:after="240" w:line="276" w:lineRule="auto"/>
        <w:jc w:val="both"/>
        <w:rPr>
          <w:rFonts w:ascii="Book Antiqua" w:hAnsi="Book Antiqua"/>
          <w:sz w:val="20"/>
          <w:szCs w:val="20"/>
        </w:rPr>
      </w:pPr>
    </w:p>
    <w:p w14:paraId="2D534861" w14:textId="546F640E" w:rsidR="00B07FB9" w:rsidRPr="005D4DF9" w:rsidRDefault="001C348F" w:rsidP="00B07FB9">
      <w:pPr>
        <w:pStyle w:val="ListParagraph"/>
        <w:numPr>
          <w:ilvl w:val="0"/>
          <w:numId w:val="2"/>
        </w:numPr>
        <w:spacing w:before="240" w:after="240" w:line="276" w:lineRule="auto"/>
        <w:jc w:val="both"/>
        <w:rPr>
          <w:rFonts w:ascii="Book Antiqua" w:hAnsi="Book Antiqua"/>
          <w:sz w:val="20"/>
          <w:szCs w:val="20"/>
        </w:rPr>
      </w:pPr>
      <w:r w:rsidRPr="005D4DF9">
        <w:rPr>
          <w:rFonts w:ascii="Book Antiqua" w:hAnsi="Book Antiqua"/>
          <w:sz w:val="20"/>
          <w:szCs w:val="20"/>
        </w:rPr>
        <w:t>The Guidelines aim to tackle t</w:t>
      </w:r>
      <w:r w:rsidR="00B63A48" w:rsidRPr="005D4DF9">
        <w:rPr>
          <w:rFonts w:ascii="Book Antiqua" w:hAnsi="Book Antiqua"/>
          <w:sz w:val="20"/>
          <w:szCs w:val="20"/>
        </w:rPr>
        <w:t>w</w:t>
      </w:r>
      <w:r w:rsidRPr="005D4DF9">
        <w:rPr>
          <w:rFonts w:ascii="Book Antiqua" w:hAnsi="Book Antiqua"/>
          <w:sz w:val="20"/>
          <w:szCs w:val="20"/>
        </w:rPr>
        <w:t xml:space="preserve">o main </w:t>
      </w:r>
      <w:r w:rsidR="00B63A48" w:rsidRPr="005D4DF9">
        <w:rPr>
          <w:rFonts w:ascii="Book Antiqua" w:hAnsi="Book Antiqua"/>
          <w:sz w:val="20"/>
          <w:szCs w:val="20"/>
        </w:rPr>
        <w:t>issues</w:t>
      </w:r>
      <w:r w:rsidRPr="005D4DF9">
        <w:rPr>
          <w:rFonts w:ascii="Book Antiqua" w:hAnsi="Book Antiqua"/>
          <w:sz w:val="20"/>
          <w:szCs w:val="20"/>
        </w:rPr>
        <w:t xml:space="preserve"> in relation to the COVID-19 crisis</w:t>
      </w:r>
      <w:r w:rsidR="00B07FB9" w:rsidRPr="005D4DF9">
        <w:rPr>
          <w:rFonts w:ascii="Book Antiqua" w:hAnsi="Book Antiqua"/>
          <w:sz w:val="20"/>
          <w:szCs w:val="20"/>
        </w:rPr>
        <w:t xml:space="preserve">:  </w:t>
      </w:r>
    </w:p>
    <w:p w14:paraId="6F0C775E" w14:textId="43A51010" w:rsidR="00B07FB9" w:rsidRPr="005D4DF9" w:rsidRDefault="001C348F" w:rsidP="001C348F">
      <w:pPr>
        <w:pStyle w:val="ListParagraph"/>
        <w:numPr>
          <w:ilvl w:val="1"/>
          <w:numId w:val="2"/>
        </w:numPr>
        <w:spacing w:before="240" w:after="240" w:line="276" w:lineRule="auto"/>
        <w:jc w:val="both"/>
        <w:rPr>
          <w:rFonts w:ascii="Book Antiqua" w:hAnsi="Book Antiqua"/>
          <w:sz w:val="20"/>
          <w:szCs w:val="20"/>
        </w:rPr>
      </w:pPr>
      <w:r w:rsidRPr="005D4DF9">
        <w:rPr>
          <w:rFonts w:ascii="Book Antiqua" w:hAnsi="Book Antiqua"/>
          <w:sz w:val="20"/>
          <w:szCs w:val="20"/>
        </w:rPr>
        <w:t xml:space="preserve">IMMEDIATE CONCERN: </w:t>
      </w:r>
      <w:r w:rsidR="00B07FB9" w:rsidRPr="005D4DF9">
        <w:rPr>
          <w:rFonts w:ascii="Book Antiqua" w:hAnsi="Book Antiqua"/>
          <w:sz w:val="20"/>
          <w:szCs w:val="20"/>
        </w:rPr>
        <w:t>The preservation of European health care capacities, namely the production of medical PPE and vaccines</w:t>
      </w:r>
      <w:r w:rsidRPr="005D4DF9">
        <w:rPr>
          <w:rFonts w:ascii="Book Antiqua" w:hAnsi="Book Antiqua"/>
          <w:sz w:val="20"/>
          <w:szCs w:val="20"/>
        </w:rPr>
        <w:t xml:space="preserve"> (</w:t>
      </w:r>
      <w:r w:rsidR="00B63A48" w:rsidRPr="005D4DF9">
        <w:rPr>
          <w:rFonts w:ascii="Book Antiqua" w:hAnsi="Book Antiqua"/>
          <w:sz w:val="20"/>
          <w:szCs w:val="20"/>
        </w:rPr>
        <w:t>preventing</w:t>
      </w:r>
      <w:r w:rsidRPr="005D4DF9">
        <w:rPr>
          <w:rFonts w:ascii="Book Antiqua" w:hAnsi="Book Antiqua"/>
          <w:sz w:val="20"/>
          <w:szCs w:val="20"/>
        </w:rPr>
        <w:t xml:space="preserve"> attempts to buy exclusive rights to EU production capabilities of essential products during the crisis)</w:t>
      </w:r>
      <w:r w:rsidR="00B07FB9" w:rsidRPr="005D4DF9">
        <w:rPr>
          <w:rFonts w:ascii="Book Antiqua" w:hAnsi="Book Antiqua"/>
          <w:sz w:val="20"/>
          <w:szCs w:val="20"/>
        </w:rPr>
        <w:t xml:space="preserve">. </w:t>
      </w:r>
    </w:p>
    <w:p w14:paraId="4C4C51F3" w14:textId="5EBF178E" w:rsidR="00B07FB9" w:rsidRPr="005D4DF9" w:rsidRDefault="001C348F" w:rsidP="001C348F">
      <w:pPr>
        <w:pStyle w:val="ListParagraph"/>
        <w:numPr>
          <w:ilvl w:val="1"/>
          <w:numId w:val="2"/>
        </w:numPr>
        <w:spacing w:before="240" w:after="240" w:line="276" w:lineRule="auto"/>
        <w:jc w:val="both"/>
        <w:rPr>
          <w:rFonts w:ascii="Book Antiqua" w:hAnsi="Book Antiqua"/>
          <w:sz w:val="20"/>
          <w:szCs w:val="20"/>
        </w:rPr>
      </w:pPr>
      <w:r w:rsidRPr="005D4DF9">
        <w:rPr>
          <w:rFonts w:ascii="Book Antiqua" w:hAnsi="Book Antiqua"/>
          <w:sz w:val="20"/>
          <w:szCs w:val="20"/>
        </w:rPr>
        <w:t xml:space="preserve">BROADER CONCERN: </w:t>
      </w:r>
      <w:r w:rsidR="00B07FB9" w:rsidRPr="005D4DF9">
        <w:rPr>
          <w:rFonts w:ascii="Book Antiqua" w:hAnsi="Book Antiqua"/>
          <w:sz w:val="20"/>
          <w:szCs w:val="20"/>
        </w:rPr>
        <w:t xml:space="preserve">The economic vulnerability or the undervaluation of companies which could result in the selloff of infrastructure critical </w:t>
      </w:r>
      <w:r w:rsidRPr="005D4DF9">
        <w:rPr>
          <w:rFonts w:ascii="Book Antiqua" w:hAnsi="Book Antiqua"/>
          <w:sz w:val="20"/>
          <w:szCs w:val="20"/>
        </w:rPr>
        <w:t xml:space="preserve">either </w:t>
      </w:r>
      <w:r w:rsidR="00B63A48" w:rsidRPr="005D4DF9">
        <w:rPr>
          <w:rFonts w:ascii="Book Antiqua" w:hAnsi="Book Antiqua"/>
          <w:sz w:val="20"/>
          <w:szCs w:val="20"/>
        </w:rPr>
        <w:t>during the crisis</w:t>
      </w:r>
      <w:r w:rsidRPr="005D4DF9">
        <w:rPr>
          <w:rFonts w:ascii="Book Antiqua" w:hAnsi="Book Antiqua"/>
          <w:sz w:val="20"/>
          <w:szCs w:val="20"/>
        </w:rPr>
        <w:t xml:space="preserve">, or </w:t>
      </w:r>
      <w:r w:rsidR="00B63A48" w:rsidRPr="005D4DF9">
        <w:rPr>
          <w:rFonts w:ascii="Book Antiqua" w:hAnsi="Book Antiqua"/>
          <w:sz w:val="20"/>
          <w:szCs w:val="20"/>
        </w:rPr>
        <w:t>essential</w:t>
      </w:r>
      <w:r w:rsidRPr="005D4DF9">
        <w:rPr>
          <w:rFonts w:ascii="Book Antiqua" w:hAnsi="Book Antiqua"/>
          <w:sz w:val="20"/>
          <w:szCs w:val="20"/>
        </w:rPr>
        <w:t xml:space="preserve"> for </w:t>
      </w:r>
      <w:r w:rsidR="00B63A48" w:rsidRPr="005D4DF9">
        <w:rPr>
          <w:rFonts w:ascii="Book Antiqua" w:hAnsi="Book Antiqua"/>
          <w:sz w:val="20"/>
          <w:szCs w:val="20"/>
        </w:rPr>
        <w:t xml:space="preserve">the </w:t>
      </w:r>
      <w:r w:rsidRPr="005D4DF9">
        <w:rPr>
          <w:rFonts w:ascii="Book Antiqua" w:hAnsi="Book Antiqua"/>
          <w:sz w:val="20"/>
          <w:szCs w:val="20"/>
        </w:rPr>
        <w:t>future post-crisis recovery</w:t>
      </w:r>
      <w:r w:rsidR="00B07FB9" w:rsidRPr="005D4DF9">
        <w:rPr>
          <w:rFonts w:ascii="Book Antiqua" w:hAnsi="Book Antiqua"/>
          <w:sz w:val="20"/>
          <w:szCs w:val="20"/>
        </w:rPr>
        <w:t xml:space="preserve">.  </w:t>
      </w:r>
    </w:p>
    <w:p w14:paraId="26F0BA69" w14:textId="77777777" w:rsidR="00B07FB9" w:rsidRPr="005D4DF9" w:rsidRDefault="00B07FB9" w:rsidP="00B07FB9">
      <w:pPr>
        <w:pStyle w:val="ListParagraph"/>
        <w:spacing w:before="240" w:after="240" w:line="276" w:lineRule="auto"/>
        <w:ind w:left="1440"/>
        <w:jc w:val="both"/>
        <w:rPr>
          <w:rFonts w:ascii="Book Antiqua" w:hAnsi="Book Antiqua"/>
          <w:sz w:val="20"/>
          <w:szCs w:val="20"/>
        </w:rPr>
      </w:pPr>
    </w:p>
    <w:p w14:paraId="41100DDF" w14:textId="2FED91A7" w:rsidR="00B07FB9" w:rsidRPr="005D4DF9" w:rsidRDefault="00B07FB9" w:rsidP="001C348F">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The Guidelines</w:t>
      </w:r>
      <w:r w:rsidR="001C348F" w:rsidRPr="005D4DF9">
        <w:rPr>
          <w:rFonts w:ascii="Book Antiqua" w:hAnsi="Book Antiqua"/>
          <w:sz w:val="20"/>
          <w:szCs w:val="20"/>
        </w:rPr>
        <w:t xml:space="preserve"> </w:t>
      </w:r>
      <w:r w:rsidRPr="005D4DF9">
        <w:rPr>
          <w:rFonts w:ascii="Book Antiqua" w:hAnsi="Book Antiqua"/>
          <w:sz w:val="20"/>
          <w:szCs w:val="20"/>
        </w:rPr>
        <w:t>do not create any new rules;</w:t>
      </w:r>
      <w:r w:rsidR="001C348F" w:rsidRPr="005D4DF9">
        <w:rPr>
          <w:rFonts w:ascii="Book Antiqua" w:hAnsi="Book Antiqua"/>
          <w:sz w:val="20"/>
          <w:szCs w:val="20"/>
        </w:rPr>
        <w:t xml:space="preserve"> however they:</w:t>
      </w:r>
    </w:p>
    <w:p w14:paraId="1FF0FA68" w14:textId="056166C1" w:rsidR="00B07FB9" w:rsidRPr="005D4DF9" w:rsidRDefault="00B07FB9" w:rsidP="00B07FB9">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clarify how national screening mechanisms should be used in the current </w:t>
      </w:r>
      <w:r w:rsidR="007B056E" w:rsidRPr="005D4DF9">
        <w:rPr>
          <w:rFonts w:ascii="Book Antiqua" w:hAnsi="Book Antiqua"/>
          <w:sz w:val="20"/>
          <w:szCs w:val="20"/>
        </w:rPr>
        <w:t>COVID-19</w:t>
      </w:r>
      <w:r w:rsidRPr="005D4DF9">
        <w:rPr>
          <w:rFonts w:ascii="Book Antiqua" w:hAnsi="Book Antiqua"/>
          <w:sz w:val="20"/>
          <w:szCs w:val="20"/>
        </w:rPr>
        <w:t xml:space="preserve"> crisis and how to interpret the </w:t>
      </w:r>
      <w:r w:rsidR="00B63A48" w:rsidRPr="005D4DF9">
        <w:rPr>
          <w:rFonts w:ascii="Book Antiqua" w:hAnsi="Book Antiqua"/>
          <w:sz w:val="20"/>
          <w:szCs w:val="20"/>
        </w:rPr>
        <w:t>Commission</w:t>
      </w:r>
      <w:r w:rsidRPr="005D4DF9">
        <w:rPr>
          <w:rFonts w:ascii="Book Antiqua" w:hAnsi="Book Antiqua"/>
          <w:sz w:val="20"/>
          <w:szCs w:val="20"/>
        </w:rPr>
        <w:t xml:space="preserve"> screening capacity, giving an overview of the process to </w:t>
      </w:r>
      <w:r w:rsidR="007B056E" w:rsidRPr="005D4DF9">
        <w:rPr>
          <w:rFonts w:ascii="Book Antiqua" w:hAnsi="Book Antiqua"/>
          <w:sz w:val="20"/>
          <w:szCs w:val="20"/>
        </w:rPr>
        <w:t>follow</w:t>
      </w:r>
      <w:r w:rsidRPr="005D4DF9">
        <w:rPr>
          <w:rFonts w:ascii="Book Antiqua" w:hAnsi="Book Antiqua"/>
          <w:sz w:val="20"/>
          <w:szCs w:val="20"/>
        </w:rPr>
        <w:t>;</w:t>
      </w:r>
    </w:p>
    <w:p w14:paraId="3C1075EF" w14:textId="5CE6AA4D" w:rsidR="004144BE" w:rsidRPr="005D4DF9" w:rsidRDefault="004144BE" w:rsidP="00B07FB9">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put on record the scope of the EU screening framework mechanism;</w:t>
      </w:r>
    </w:p>
    <w:p w14:paraId="30A2355F" w14:textId="2D2B34F9" w:rsidR="004144BE" w:rsidRPr="005D4DF9" w:rsidRDefault="004144BE" w:rsidP="004144BE">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highlight concerns regarding capital movements in addition to FDI (although this </w:t>
      </w:r>
      <w:r w:rsidR="007B056E" w:rsidRPr="005D4DF9">
        <w:rPr>
          <w:rFonts w:ascii="Book Antiqua" w:hAnsi="Book Antiqua"/>
          <w:sz w:val="20"/>
          <w:szCs w:val="20"/>
        </w:rPr>
        <w:t>goes</w:t>
      </w:r>
      <w:r w:rsidRPr="005D4DF9">
        <w:rPr>
          <w:rFonts w:ascii="Book Antiqua" w:hAnsi="Book Antiqua"/>
          <w:sz w:val="20"/>
          <w:szCs w:val="20"/>
        </w:rPr>
        <w:t xml:space="preserve"> beyond this </w:t>
      </w:r>
      <w:r w:rsidR="007B056E" w:rsidRPr="005D4DF9">
        <w:rPr>
          <w:rFonts w:ascii="Book Antiqua" w:hAnsi="Book Antiqua"/>
          <w:sz w:val="20"/>
          <w:szCs w:val="20"/>
        </w:rPr>
        <w:t>webinar’s</w:t>
      </w:r>
      <w:r w:rsidRPr="005D4DF9">
        <w:rPr>
          <w:rFonts w:ascii="Book Antiqua" w:hAnsi="Book Antiqua"/>
          <w:sz w:val="20"/>
          <w:szCs w:val="20"/>
        </w:rPr>
        <w:t xml:space="preserve"> discussion);</w:t>
      </w:r>
    </w:p>
    <w:p w14:paraId="7AC32BD0" w14:textId="6CB0F768" w:rsidR="00B07FB9" w:rsidRPr="005D4DF9" w:rsidRDefault="00B07FB9" w:rsidP="004144BE">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stress that in order for the FDI mechanism to be triggered, </w:t>
      </w:r>
      <w:r w:rsidRPr="005D4DF9">
        <w:rPr>
          <w:rFonts w:ascii="Book Antiqua" w:hAnsi="Book Antiqua"/>
          <w:b/>
          <w:bCs/>
          <w:sz w:val="20"/>
          <w:szCs w:val="20"/>
        </w:rPr>
        <w:t>Member States should always establish a link between national security and public order</w:t>
      </w:r>
      <w:r w:rsidR="001C348F" w:rsidRPr="005D4DF9">
        <w:rPr>
          <w:rFonts w:ascii="Book Antiqua" w:hAnsi="Book Antiqua"/>
          <w:b/>
          <w:bCs/>
          <w:sz w:val="20"/>
          <w:szCs w:val="20"/>
        </w:rPr>
        <w:t xml:space="preserve"> </w:t>
      </w:r>
      <w:r w:rsidR="001C348F" w:rsidRPr="005D4DF9">
        <w:rPr>
          <w:rFonts w:ascii="Book Antiqua" w:hAnsi="Book Antiqua"/>
          <w:sz w:val="20"/>
          <w:szCs w:val="20"/>
        </w:rPr>
        <w:t xml:space="preserve">(the COVID-19 healthcare crisis </w:t>
      </w:r>
      <w:r w:rsidR="007B056E" w:rsidRPr="005D4DF9">
        <w:rPr>
          <w:rFonts w:ascii="Book Antiqua" w:hAnsi="Book Antiqua"/>
          <w:sz w:val="20"/>
          <w:szCs w:val="20"/>
        </w:rPr>
        <w:t>comes</w:t>
      </w:r>
      <w:r w:rsidR="001C348F" w:rsidRPr="005D4DF9">
        <w:rPr>
          <w:rFonts w:ascii="Book Antiqua" w:hAnsi="Book Antiqua"/>
          <w:sz w:val="20"/>
          <w:szCs w:val="20"/>
        </w:rPr>
        <w:t xml:space="preserve"> under these headings)</w:t>
      </w:r>
      <w:r w:rsidR="004144BE" w:rsidRPr="005D4DF9">
        <w:rPr>
          <w:rFonts w:ascii="Book Antiqua" w:hAnsi="Book Antiqua"/>
          <w:sz w:val="20"/>
          <w:szCs w:val="20"/>
        </w:rPr>
        <w:t>.</w:t>
      </w:r>
    </w:p>
    <w:p w14:paraId="4C4CBF48" w14:textId="77777777" w:rsidR="004144BE" w:rsidRPr="005D4DF9" w:rsidRDefault="004144BE" w:rsidP="004144BE">
      <w:pPr>
        <w:pStyle w:val="ListParagraph"/>
        <w:spacing w:before="240" w:after="240" w:line="276" w:lineRule="auto"/>
        <w:ind w:left="1080"/>
        <w:jc w:val="both"/>
        <w:rPr>
          <w:rFonts w:ascii="Book Antiqua" w:hAnsi="Book Antiqua"/>
          <w:sz w:val="20"/>
          <w:szCs w:val="20"/>
        </w:rPr>
      </w:pPr>
    </w:p>
    <w:p w14:paraId="75897FAA" w14:textId="36D66892" w:rsidR="004144BE" w:rsidRPr="005D4DF9" w:rsidRDefault="004144BE" w:rsidP="004144BE">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lastRenderedPageBreak/>
        <w:t>The Guidelines also wanted to be a call from the Commission to Member States to implement full national FDI mechanisms to work alongside the EU framework and, in the meantime, to consider what can be done with the instruments currently available.</w:t>
      </w:r>
    </w:p>
    <w:p w14:paraId="5A766EF2" w14:textId="77777777" w:rsidR="004144BE" w:rsidRPr="005D4DF9" w:rsidRDefault="004144BE" w:rsidP="004144BE">
      <w:pPr>
        <w:pStyle w:val="ListParagraph"/>
        <w:spacing w:before="240" w:after="240" w:line="276" w:lineRule="auto"/>
        <w:ind w:left="360"/>
        <w:jc w:val="both"/>
        <w:rPr>
          <w:rFonts w:ascii="Book Antiqua" w:hAnsi="Book Antiqua"/>
          <w:sz w:val="20"/>
          <w:szCs w:val="20"/>
        </w:rPr>
      </w:pPr>
    </w:p>
    <w:p w14:paraId="284AAE0C" w14:textId="77777777" w:rsidR="004144BE" w:rsidRPr="005D4DF9" w:rsidRDefault="004144BE" w:rsidP="004144BE">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Finally, the Guidelines wanted to </w:t>
      </w:r>
      <w:r w:rsidR="00B07FB9" w:rsidRPr="005D4DF9">
        <w:rPr>
          <w:rFonts w:ascii="Book Antiqua" w:hAnsi="Book Antiqua"/>
          <w:sz w:val="20"/>
          <w:szCs w:val="20"/>
        </w:rPr>
        <w:t>signal to investors that</w:t>
      </w:r>
      <w:r w:rsidRPr="005D4DF9">
        <w:rPr>
          <w:rFonts w:ascii="Book Antiqua" w:hAnsi="Book Antiqua"/>
          <w:sz w:val="20"/>
          <w:szCs w:val="20"/>
        </w:rPr>
        <w:t>:</w:t>
      </w:r>
    </w:p>
    <w:p w14:paraId="5403CB30" w14:textId="77777777" w:rsidR="004144BE" w:rsidRPr="005D4DF9" w:rsidRDefault="004144BE" w:rsidP="004144BE">
      <w:pPr>
        <w:pStyle w:val="ListParagraph"/>
        <w:rPr>
          <w:rFonts w:ascii="Book Antiqua" w:hAnsi="Book Antiqua"/>
          <w:sz w:val="20"/>
          <w:szCs w:val="20"/>
        </w:rPr>
      </w:pPr>
    </w:p>
    <w:p w14:paraId="28FFC9D6" w14:textId="24BD273F" w:rsidR="00CC1118" w:rsidRPr="005D4DF9" w:rsidRDefault="00CC1118" w:rsidP="004144BE">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any FDI</w:t>
      </w:r>
      <w:r w:rsidR="00B07FB9" w:rsidRPr="005D4DF9">
        <w:rPr>
          <w:rFonts w:ascii="Book Antiqua" w:hAnsi="Book Antiqua"/>
          <w:b/>
          <w:bCs/>
          <w:sz w:val="20"/>
          <w:szCs w:val="20"/>
        </w:rPr>
        <w:t xml:space="preserve"> </w:t>
      </w:r>
      <w:r w:rsidR="004144BE" w:rsidRPr="005D4DF9">
        <w:rPr>
          <w:rFonts w:ascii="Book Antiqua" w:hAnsi="Book Antiqua"/>
          <w:b/>
          <w:bCs/>
          <w:sz w:val="20"/>
          <w:szCs w:val="20"/>
        </w:rPr>
        <w:t xml:space="preserve">completed </w:t>
      </w:r>
      <w:r w:rsidRPr="005D4DF9">
        <w:rPr>
          <w:rFonts w:ascii="Book Antiqua" w:hAnsi="Book Antiqua"/>
          <w:b/>
          <w:bCs/>
          <w:sz w:val="20"/>
          <w:szCs w:val="20"/>
        </w:rPr>
        <w:t xml:space="preserve">after 19 April 2019 </w:t>
      </w:r>
      <w:r w:rsidR="00B07FB9" w:rsidRPr="005D4DF9">
        <w:rPr>
          <w:rFonts w:ascii="Book Antiqua" w:hAnsi="Book Antiqua"/>
          <w:b/>
          <w:bCs/>
          <w:sz w:val="20"/>
          <w:szCs w:val="20"/>
        </w:rPr>
        <w:t>could be subject to</w:t>
      </w:r>
      <w:r w:rsidR="00491CE8" w:rsidRPr="005D4DF9">
        <w:rPr>
          <w:rFonts w:ascii="Book Antiqua" w:hAnsi="Book Antiqua"/>
          <w:b/>
          <w:bCs/>
          <w:sz w:val="20"/>
          <w:szCs w:val="20"/>
        </w:rPr>
        <w:t xml:space="preserve"> ex-post</w:t>
      </w:r>
      <w:r w:rsidR="00B07FB9" w:rsidRPr="005D4DF9">
        <w:rPr>
          <w:rFonts w:ascii="Book Antiqua" w:hAnsi="Book Antiqua"/>
          <w:b/>
          <w:bCs/>
          <w:sz w:val="20"/>
          <w:szCs w:val="20"/>
        </w:rPr>
        <w:t xml:space="preserve"> scrutiny from </w:t>
      </w:r>
      <w:r w:rsidRPr="005D4DF9">
        <w:rPr>
          <w:rFonts w:ascii="Book Antiqua" w:hAnsi="Book Antiqua"/>
          <w:b/>
          <w:bCs/>
          <w:sz w:val="20"/>
          <w:szCs w:val="20"/>
        </w:rPr>
        <w:t xml:space="preserve">11 </w:t>
      </w:r>
      <w:r w:rsidR="00B07FB9" w:rsidRPr="005D4DF9">
        <w:rPr>
          <w:rFonts w:ascii="Book Antiqua" w:hAnsi="Book Antiqua"/>
          <w:b/>
          <w:bCs/>
          <w:sz w:val="20"/>
          <w:szCs w:val="20"/>
        </w:rPr>
        <w:t>October 2020</w:t>
      </w:r>
      <w:r w:rsidRPr="005D4DF9">
        <w:rPr>
          <w:rFonts w:ascii="Book Antiqua" w:hAnsi="Book Antiqua"/>
          <w:sz w:val="20"/>
          <w:szCs w:val="20"/>
        </w:rPr>
        <w:t xml:space="preserve"> (</w:t>
      </w:r>
      <w:r w:rsidR="00B07FB9" w:rsidRPr="005D4DF9">
        <w:rPr>
          <w:rFonts w:ascii="Book Antiqua" w:hAnsi="Book Antiqua"/>
          <w:sz w:val="20"/>
          <w:szCs w:val="20"/>
        </w:rPr>
        <w:t xml:space="preserve">when the </w:t>
      </w:r>
      <w:r w:rsidRPr="005D4DF9">
        <w:rPr>
          <w:rFonts w:ascii="Book Antiqua" w:hAnsi="Book Antiqua"/>
          <w:sz w:val="20"/>
          <w:szCs w:val="20"/>
        </w:rPr>
        <w:t>FDI Screening Regulation comes into force).  However,</w:t>
      </w:r>
      <w:r w:rsidR="00491CE8" w:rsidRPr="005D4DF9">
        <w:rPr>
          <w:rFonts w:ascii="Book Antiqua" w:hAnsi="Book Antiqua"/>
          <w:sz w:val="20"/>
          <w:szCs w:val="20"/>
        </w:rPr>
        <w:t xml:space="preserve"> </w:t>
      </w:r>
      <w:r w:rsidR="00F50367" w:rsidRPr="005D4DF9">
        <w:rPr>
          <w:rFonts w:ascii="Book Antiqua" w:hAnsi="Book Antiqua"/>
          <w:sz w:val="20"/>
          <w:szCs w:val="20"/>
        </w:rPr>
        <w:t xml:space="preserve">the general rule </w:t>
      </w:r>
      <w:r w:rsidR="007B056E" w:rsidRPr="005D4DF9">
        <w:rPr>
          <w:rFonts w:ascii="Book Antiqua" w:hAnsi="Book Antiqua"/>
          <w:sz w:val="20"/>
          <w:szCs w:val="20"/>
        </w:rPr>
        <w:t xml:space="preserve">applies mandating </w:t>
      </w:r>
      <w:r w:rsidR="00F50367" w:rsidRPr="005D4DF9">
        <w:rPr>
          <w:rFonts w:ascii="Book Antiqua" w:hAnsi="Book Antiqua"/>
          <w:sz w:val="20"/>
          <w:szCs w:val="20"/>
        </w:rPr>
        <w:t xml:space="preserve">that </w:t>
      </w:r>
      <w:r w:rsidR="007B056E" w:rsidRPr="005D4DF9">
        <w:rPr>
          <w:rFonts w:ascii="Book Antiqua" w:hAnsi="Book Antiqua"/>
          <w:b/>
          <w:bCs/>
          <w:sz w:val="20"/>
          <w:szCs w:val="20"/>
        </w:rPr>
        <w:t>(i)</w:t>
      </w:r>
      <w:r w:rsidR="007B056E" w:rsidRPr="005D4DF9">
        <w:rPr>
          <w:rFonts w:ascii="Book Antiqua" w:hAnsi="Book Antiqua"/>
          <w:sz w:val="20"/>
          <w:szCs w:val="20"/>
        </w:rPr>
        <w:t xml:space="preserve"> </w:t>
      </w:r>
      <w:r w:rsidR="00491CE8" w:rsidRPr="005D4DF9">
        <w:rPr>
          <w:rFonts w:ascii="Book Antiqua" w:hAnsi="Book Antiqua"/>
          <w:b/>
          <w:bCs/>
          <w:sz w:val="20"/>
          <w:szCs w:val="20"/>
        </w:rPr>
        <w:t>Member States comment up to</w:t>
      </w:r>
      <w:r w:rsidR="007B056E" w:rsidRPr="005D4DF9">
        <w:rPr>
          <w:rFonts w:ascii="Book Antiqua" w:hAnsi="Book Antiqua"/>
          <w:b/>
          <w:bCs/>
          <w:sz w:val="20"/>
          <w:szCs w:val="20"/>
        </w:rPr>
        <w:t>;</w:t>
      </w:r>
      <w:r w:rsidR="00491CE8" w:rsidRPr="005D4DF9">
        <w:rPr>
          <w:rFonts w:ascii="Book Antiqua" w:hAnsi="Book Antiqua"/>
          <w:b/>
          <w:bCs/>
          <w:sz w:val="20"/>
          <w:szCs w:val="20"/>
        </w:rPr>
        <w:t xml:space="preserve"> and </w:t>
      </w:r>
      <w:r w:rsidR="007B056E" w:rsidRPr="005D4DF9">
        <w:rPr>
          <w:rFonts w:ascii="Book Antiqua" w:hAnsi="Book Antiqua"/>
          <w:b/>
          <w:bCs/>
          <w:sz w:val="20"/>
          <w:szCs w:val="20"/>
        </w:rPr>
        <w:t xml:space="preserve">(ii) </w:t>
      </w:r>
      <w:r w:rsidR="00491CE8" w:rsidRPr="005D4DF9">
        <w:rPr>
          <w:rFonts w:ascii="Book Antiqua" w:hAnsi="Book Antiqua"/>
          <w:b/>
          <w:bCs/>
          <w:sz w:val="20"/>
          <w:szCs w:val="20"/>
        </w:rPr>
        <w:t>the Commission issue an opinion by,</w:t>
      </w:r>
      <w:r w:rsidRPr="005D4DF9">
        <w:rPr>
          <w:rFonts w:ascii="Book Antiqua" w:hAnsi="Book Antiqua"/>
          <w:b/>
          <w:bCs/>
          <w:sz w:val="20"/>
          <w:szCs w:val="20"/>
        </w:rPr>
        <w:t xml:space="preserve"> the end of the 15</w:t>
      </w:r>
      <w:r w:rsidRPr="005D4DF9">
        <w:rPr>
          <w:rFonts w:ascii="Book Antiqua" w:hAnsi="Book Antiqua"/>
          <w:b/>
          <w:bCs/>
          <w:sz w:val="20"/>
          <w:szCs w:val="20"/>
          <w:vertAlign w:val="superscript"/>
        </w:rPr>
        <w:t>th</w:t>
      </w:r>
      <w:r w:rsidRPr="005D4DF9">
        <w:rPr>
          <w:rFonts w:ascii="Book Antiqua" w:hAnsi="Book Antiqua"/>
          <w:b/>
          <w:bCs/>
          <w:sz w:val="20"/>
          <w:szCs w:val="20"/>
        </w:rPr>
        <w:t xml:space="preserve"> month from completion of </w:t>
      </w:r>
      <w:r w:rsidR="007B056E" w:rsidRPr="005D4DF9">
        <w:rPr>
          <w:rFonts w:ascii="Book Antiqua" w:hAnsi="Book Antiqua"/>
          <w:b/>
          <w:bCs/>
          <w:sz w:val="20"/>
          <w:szCs w:val="20"/>
        </w:rPr>
        <w:t>an</w:t>
      </w:r>
      <w:r w:rsidRPr="005D4DF9">
        <w:rPr>
          <w:rFonts w:ascii="Book Antiqua" w:hAnsi="Book Antiqua"/>
          <w:b/>
          <w:bCs/>
          <w:sz w:val="20"/>
          <w:szCs w:val="20"/>
        </w:rPr>
        <w:t xml:space="preserve"> FDI</w:t>
      </w:r>
      <w:r w:rsidR="00491CE8" w:rsidRPr="005D4DF9">
        <w:rPr>
          <w:rFonts w:ascii="Book Antiqua" w:hAnsi="Book Antiqua"/>
          <w:sz w:val="20"/>
          <w:szCs w:val="20"/>
        </w:rPr>
        <w:t xml:space="preserve">; </w:t>
      </w:r>
      <w:r w:rsidR="007B056E" w:rsidRPr="005D4DF9">
        <w:rPr>
          <w:rFonts w:ascii="Book Antiqua" w:hAnsi="Book Antiqua"/>
          <w:sz w:val="20"/>
          <w:szCs w:val="20"/>
        </w:rPr>
        <w:t>AND</w:t>
      </w:r>
    </w:p>
    <w:p w14:paraId="24009C45" w14:textId="77777777" w:rsidR="00CC1118" w:rsidRPr="005D4DF9" w:rsidRDefault="00CC1118" w:rsidP="00CC1118">
      <w:pPr>
        <w:pStyle w:val="ListParagraph"/>
        <w:spacing w:before="240" w:after="240" w:line="276" w:lineRule="auto"/>
        <w:ind w:left="1080"/>
        <w:jc w:val="both"/>
        <w:rPr>
          <w:rFonts w:ascii="Book Antiqua" w:hAnsi="Book Antiqua"/>
          <w:sz w:val="20"/>
          <w:szCs w:val="20"/>
        </w:rPr>
      </w:pPr>
    </w:p>
    <w:p w14:paraId="3FB86FF6" w14:textId="77777777" w:rsidR="00E01C55" w:rsidRPr="005D4DF9" w:rsidRDefault="00E01C55" w:rsidP="00E01C55">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any ex-post investigations may not result in binding order, including for the divestment or the unwinding of the transaction</w:t>
      </w:r>
      <w:r w:rsidRPr="005D4DF9">
        <w:rPr>
          <w:rFonts w:ascii="Book Antiqua" w:hAnsi="Book Antiqua"/>
          <w:sz w:val="20"/>
          <w:szCs w:val="20"/>
        </w:rPr>
        <w:t>.  However, they can still give recommendations, for instance for refining and tuning the FDI in a way to mitigate security risks.</w:t>
      </w:r>
    </w:p>
    <w:p w14:paraId="11927093" w14:textId="5396B243" w:rsidR="00B07FB9" w:rsidRPr="005D4DF9" w:rsidRDefault="00F50367" w:rsidP="00F50367">
      <w:pPr>
        <w:spacing w:before="240" w:after="240" w:line="276" w:lineRule="auto"/>
        <w:jc w:val="both"/>
        <w:rPr>
          <w:rFonts w:ascii="Book Antiqua" w:hAnsi="Book Antiqua"/>
          <w:sz w:val="20"/>
          <w:szCs w:val="20"/>
        </w:rPr>
      </w:pPr>
      <w:r w:rsidRPr="005D4DF9">
        <w:rPr>
          <w:rFonts w:ascii="Book Antiqua" w:hAnsi="Book Antiqua"/>
          <w:b/>
          <w:bCs/>
          <w:sz w:val="20"/>
          <w:szCs w:val="20"/>
        </w:rPr>
        <w:t>Prof. ALAN RILEY</w:t>
      </w:r>
      <w:r w:rsidR="00530D08" w:rsidRPr="005D4DF9">
        <w:rPr>
          <w:rFonts w:ascii="Book Antiqua" w:hAnsi="Book Antiqua"/>
          <w:b/>
          <w:bCs/>
          <w:sz w:val="20"/>
          <w:szCs w:val="20"/>
        </w:rPr>
        <w:t xml:space="preserve"> (the long-term consequences of fast-tracked measures)</w:t>
      </w:r>
    </w:p>
    <w:p w14:paraId="2768EC4D" w14:textId="0C0D1659" w:rsidR="00086843" w:rsidRPr="005D4DF9" w:rsidRDefault="00086843" w:rsidP="00086843">
      <w:pPr>
        <w:pStyle w:val="ListParagraph"/>
        <w:numPr>
          <w:ilvl w:val="0"/>
          <w:numId w:val="4"/>
        </w:numPr>
        <w:spacing w:before="240" w:after="240" w:line="276" w:lineRule="auto"/>
        <w:jc w:val="both"/>
        <w:rPr>
          <w:rFonts w:ascii="Book Antiqua" w:hAnsi="Book Antiqua"/>
          <w:sz w:val="20"/>
          <w:szCs w:val="20"/>
        </w:rPr>
      </w:pPr>
      <w:r w:rsidRPr="005D4DF9">
        <w:rPr>
          <w:rFonts w:ascii="Book Antiqua" w:hAnsi="Book Antiqua"/>
          <w:sz w:val="20"/>
          <w:szCs w:val="20"/>
        </w:rPr>
        <w:t>The nature of this emergency will fast forward processes which would organically take much longer to be carried through.  One example of a sped-up process that organically would take longer to complete is the establishment of national FDI screening mechanisms. It is now likely most Member States will adopt such mechanisms by the end of the crisis.</w:t>
      </w:r>
    </w:p>
    <w:p w14:paraId="7F3DFC11" w14:textId="77777777" w:rsidR="00086843" w:rsidRPr="005D4DF9" w:rsidRDefault="00086843" w:rsidP="00086843">
      <w:pPr>
        <w:pStyle w:val="ListParagraph"/>
        <w:spacing w:before="240" w:after="240" w:line="276" w:lineRule="auto"/>
        <w:ind w:left="360"/>
        <w:jc w:val="both"/>
        <w:rPr>
          <w:rFonts w:ascii="Book Antiqua" w:hAnsi="Book Antiqua"/>
          <w:sz w:val="20"/>
          <w:szCs w:val="20"/>
        </w:rPr>
      </w:pPr>
      <w:r w:rsidRPr="005D4DF9" w:rsidDel="003753C6">
        <w:rPr>
          <w:rFonts w:ascii="Book Antiqua" w:hAnsi="Book Antiqua"/>
          <w:sz w:val="20"/>
          <w:szCs w:val="20"/>
        </w:rPr>
        <w:t xml:space="preserve"> </w:t>
      </w:r>
    </w:p>
    <w:p w14:paraId="07FC1DED" w14:textId="7DCB7CEB" w:rsidR="00086843" w:rsidRPr="005D4DF9" w:rsidRDefault="00086843" w:rsidP="00086843">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Given the potential for the crisis to impact across a number of industries, for example knock on effects across the chemical sector on sourcing and supply in the health care sector it is likely that the screening mechanisms will be deployed in a broader range of market sectors.  Screening mechanisms may also be deployed in industries, not directly related to the COVID-19 crisis, which are considered as critical, and potentially under threat from external predation. </w:t>
      </w:r>
    </w:p>
    <w:p w14:paraId="59506F52" w14:textId="77777777" w:rsidR="00086843" w:rsidRPr="005D4DF9" w:rsidRDefault="00086843" w:rsidP="00086843">
      <w:pPr>
        <w:pStyle w:val="ListParagraph"/>
        <w:spacing w:before="240" w:after="240" w:line="276" w:lineRule="auto"/>
        <w:ind w:left="360"/>
        <w:jc w:val="both"/>
        <w:rPr>
          <w:rFonts w:ascii="Book Antiqua" w:hAnsi="Book Antiqua"/>
          <w:sz w:val="20"/>
          <w:szCs w:val="20"/>
        </w:rPr>
      </w:pPr>
    </w:p>
    <w:p w14:paraId="0401D382" w14:textId="59163E05" w:rsidR="00AA2104" w:rsidRPr="005D4DF9" w:rsidRDefault="00AA2104" w:rsidP="00AA2104">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Mr</w:t>
      </w:r>
      <w:r w:rsidR="00B07FB9" w:rsidRPr="005D4DF9">
        <w:rPr>
          <w:rFonts w:ascii="Book Antiqua" w:hAnsi="Book Antiqua"/>
          <w:sz w:val="20"/>
          <w:szCs w:val="20"/>
        </w:rPr>
        <w:t xml:space="preserve"> Petinato </w:t>
      </w:r>
      <w:r w:rsidRPr="005D4DF9">
        <w:rPr>
          <w:rFonts w:ascii="Book Antiqua" w:hAnsi="Book Antiqua"/>
          <w:sz w:val="20"/>
          <w:szCs w:val="20"/>
        </w:rPr>
        <w:t>stressed</w:t>
      </w:r>
      <w:r w:rsidR="007B056E" w:rsidRPr="005D4DF9">
        <w:rPr>
          <w:rFonts w:ascii="Book Antiqua" w:hAnsi="Book Antiqua"/>
          <w:sz w:val="20"/>
          <w:szCs w:val="20"/>
        </w:rPr>
        <w:t xml:space="preserve"> in response</w:t>
      </w:r>
      <w:r w:rsidRPr="005D4DF9">
        <w:rPr>
          <w:rFonts w:ascii="Book Antiqua" w:hAnsi="Book Antiqua"/>
          <w:sz w:val="20"/>
          <w:szCs w:val="20"/>
        </w:rPr>
        <w:t xml:space="preserve"> that any </w:t>
      </w:r>
      <w:r w:rsidR="00B07FB9" w:rsidRPr="005D4DF9">
        <w:rPr>
          <w:rFonts w:ascii="Book Antiqua" w:hAnsi="Book Antiqua"/>
          <w:sz w:val="20"/>
          <w:szCs w:val="20"/>
        </w:rPr>
        <w:t xml:space="preserve">FDI screening powers should be exercised with </w:t>
      </w:r>
      <w:r w:rsidRPr="005D4DF9">
        <w:rPr>
          <w:rFonts w:ascii="Book Antiqua" w:hAnsi="Book Antiqua"/>
          <w:sz w:val="20"/>
          <w:szCs w:val="20"/>
        </w:rPr>
        <w:t>the view that f</w:t>
      </w:r>
      <w:r w:rsidR="00B07FB9" w:rsidRPr="005D4DF9">
        <w:rPr>
          <w:rFonts w:ascii="Book Antiqua" w:hAnsi="Book Antiqua"/>
          <w:sz w:val="20"/>
          <w:szCs w:val="20"/>
        </w:rPr>
        <w:t xml:space="preserve">oreign investments will be necessary element for the </w:t>
      </w:r>
      <w:r w:rsidRPr="005D4DF9">
        <w:rPr>
          <w:rFonts w:ascii="Book Antiqua" w:hAnsi="Book Antiqua"/>
          <w:sz w:val="20"/>
          <w:szCs w:val="20"/>
        </w:rPr>
        <w:t xml:space="preserve">post-crisis </w:t>
      </w:r>
      <w:r w:rsidR="00B07FB9" w:rsidRPr="005D4DF9">
        <w:rPr>
          <w:rFonts w:ascii="Book Antiqua" w:hAnsi="Book Antiqua"/>
          <w:sz w:val="20"/>
          <w:szCs w:val="20"/>
        </w:rPr>
        <w:t>recovery</w:t>
      </w:r>
      <w:r w:rsidR="007B056E" w:rsidRPr="005D4DF9">
        <w:rPr>
          <w:rFonts w:ascii="Book Antiqua" w:hAnsi="Book Antiqua"/>
          <w:sz w:val="20"/>
          <w:szCs w:val="20"/>
        </w:rPr>
        <w:t xml:space="preserve"> </w:t>
      </w:r>
      <w:r w:rsidRPr="005D4DF9">
        <w:rPr>
          <w:rFonts w:ascii="Book Antiqua" w:hAnsi="Book Antiqua"/>
          <w:sz w:val="20"/>
          <w:szCs w:val="20"/>
        </w:rPr>
        <w:t>and</w:t>
      </w:r>
      <w:r w:rsidR="007B056E" w:rsidRPr="005D4DF9">
        <w:rPr>
          <w:rFonts w:ascii="Book Antiqua" w:hAnsi="Book Antiqua"/>
          <w:sz w:val="20"/>
          <w:szCs w:val="20"/>
        </w:rPr>
        <w:t>, therefore,</w:t>
      </w:r>
      <w:r w:rsidRPr="005D4DF9">
        <w:rPr>
          <w:rFonts w:ascii="Book Antiqua" w:hAnsi="Book Antiqua"/>
          <w:sz w:val="20"/>
          <w:szCs w:val="20"/>
        </w:rPr>
        <w:t xml:space="preserve"> not in a protectionist fashion.</w:t>
      </w:r>
    </w:p>
    <w:p w14:paraId="37DB0B32" w14:textId="4404B789" w:rsidR="00B07FB9" w:rsidRPr="005D4DF9" w:rsidRDefault="00B07FB9" w:rsidP="00AA2104">
      <w:pPr>
        <w:pStyle w:val="ListParagraph"/>
        <w:spacing w:before="240" w:after="240" w:line="276" w:lineRule="auto"/>
        <w:ind w:left="1800"/>
        <w:jc w:val="both"/>
        <w:rPr>
          <w:rFonts w:ascii="Book Antiqua" w:hAnsi="Book Antiqua"/>
          <w:sz w:val="20"/>
          <w:szCs w:val="20"/>
        </w:rPr>
      </w:pPr>
      <w:r w:rsidRPr="005D4DF9">
        <w:rPr>
          <w:rFonts w:ascii="Book Antiqua" w:hAnsi="Book Antiqua"/>
          <w:sz w:val="20"/>
          <w:szCs w:val="20"/>
        </w:rPr>
        <w:t xml:space="preserve"> </w:t>
      </w:r>
    </w:p>
    <w:p w14:paraId="694952BB" w14:textId="16BE028A" w:rsidR="00B07FB9" w:rsidRPr="005D4DF9" w:rsidRDefault="00F50367" w:rsidP="00F50367">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In light of this, it is unclear what will be temporary and what will become permanent.  </w:t>
      </w:r>
      <w:r w:rsidR="00B07FB9" w:rsidRPr="005D4DF9">
        <w:rPr>
          <w:rFonts w:ascii="Book Antiqua" w:hAnsi="Book Antiqua"/>
          <w:sz w:val="20"/>
          <w:szCs w:val="20"/>
        </w:rPr>
        <w:t xml:space="preserve">Temporary solutions lasting for longer than expected could lead to structural problems. </w:t>
      </w:r>
      <w:r w:rsidRPr="005D4DF9">
        <w:rPr>
          <w:rFonts w:ascii="Book Antiqua" w:hAnsi="Book Antiqua"/>
          <w:sz w:val="20"/>
          <w:szCs w:val="20"/>
        </w:rPr>
        <w:t xml:space="preserve"> The coexistence of EU and Member State antitrust merger controls with EU and Member State FDI controls </w:t>
      </w:r>
      <w:r w:rsidR="00AA2104" w:rsidRPr="005D4DF9">
        <w:rPr>
          <w:rFonts w:ascii="Book Antiqua" w:hAnsi="Book Antiqua"/>
          <w:sz w:val="20"/>
          <w:szCs w:val="20"/>
        </w:rPr>
        <w:t xml:space="preserve">could be </w:t>
      </w:r>
      <w:r w:rsidR="00B07FB9" w:rsidRPr="005D4DF9">
        <w:rPr>
          <w:rFonts w:ascii="Book Antiqua" w:hAnsi="Book Antiqua"/>
          <w:sz w:val="20"/>
          <w:szCs w:val="20"/>
        </w:rPr>
        <w:t>troublesome</w:t>
      </w:r>
      <w:r w:rsidR="007B056E" w:rsidRPr="005D4DF9">
        <w:rPr>
          <w:rFonts w:ascii="Book Antiqua" w:hAnsi="Book Antiqua"/>
          <w:sz w:val="20"/>
          <w:szCs w:val="20"/>
        </w:rPr>
        <w:t>,</w:t>
      </w:r>
      <w:r w:rsidR="00B07FB9" w:rsidRPr="005D4DF9">
        <w:rPr>
          <w:rFonts w:ascii="Book Antiqua" w:hAnsi="Book Antiqua"/>
          <w:sz w:val="20"/>
          <w:szCs w:val="20"/>
        </w:rPr>
        <w:t xml:space="preserve"> </w:t>
      </w:r>
      <w:r w:rsidR="00AA2104" w:rsidRPr="005D4DF9">
        <w:rPr>
          <w:rFonts w:ascii="Book Antiqua" w:hAnsi="Book Antiqua"/>
          <w:sz w:val="20"/>
          <w:szCs w:val="20"/>
        </w:rPr>
        <w:t xml:space="preserve">as transactions caught by both mechanisms will be scrutinised twice </w:t>
      </w:r>
      <w:r w:rsidR="00B07FB9" w:rsidRPr="005D4DF9">
        <w:rPr>
          <w:rFonts w:ascii="Book Antiqua" w:hAnsi="Book Antiqua"/>
          <w:sz w:val="20"/>
          <w:szCs w:val="20"/>
        </w:rPr>
        <w:t xml:space="preserve">from different perspectives. </w:t>
      </w:r>
    </w:p>
    <w:p w14:paraId="62B02BB4" w14:textId="216AA8BD" w:rsidR="00AA2104" w:rsidRPr="005D4DF9" w:rsidRDefault="00AA2104" w:rsidP="00AA2104">
      <w:pPr>
        <w:spacing w:before="240" w:after="240" w:line="276" w:lineRule="auto"/>
        <w:jc w:val="both"/>
        <w:rPr>
          <w:rFonts w:ascii="Book Antiqua" w:hAnsi="Book Antiqua"/>
          <w:sz w:val="20"/>
          <w:szCs w:val="20"/>
        </w:rPr>
      </w:pPr>
      <w:r w:rsidRPr="005D4DF9">
        <w:rPr>
          <w:rFonts w:ascii="Book Antiqua" w:hAnsi="Book Antiqua"/>
          <w:b/>
          <w:bCs/>
          <w:sz w:val="20"/>
          <w:szCs w:val="20"/>
        </w:rPr>
        <w:t>MANUEL V</w:t>
      </w:r>
      <w:r w:rsidR="00B63A48" w:rsidRPr="005D4DF9">
        <w:rPr>
          <w:rFonts w:ascii="Book Antiqua" w:hAnsi="Book Antiqua"/>
          <w:b/>
          <w:bCs/>
          <w:sz w:val="20"/>
          <w:szCs w:val="20"/>
        </w:rPr>
        <w:t>É</w:t>
      </w:r>
      <w:r w:rsidRPr="005D4DF9">
        <w:rPr>
          <w:rFonts w:ascii="Book Antiqua" w:hAnsi="Book Antiqua"/>
          <w:b/>
          <w:bCs/>
          <w:sz w:val="20"/>
          <w:szCs w:val="20"/>
        </w:rPr>
        <w:t>LEZ FRAGA</w:t>
      </w:r>
      <w:r w:rsidR="00530D08" w:rsidRPr="005D4DF9">
        <w:rPr>
          <w:rFonts w:ascii="Book Antiqua" w:hAnsi="Book Antiqua"/>
          <w:b/>
          <w:bCs/>
          <w:sz w:val="20"/>
          <w:szCs w:val="20"/>
        </w:rPr>
        <w:t xml:space="preserve"> (the new Spanish FDI screening mechanism)</w:t>
      </w:r>
    </w:p>
    <w:p w14:paraId="41C1D453" w14:textId="399CC966" w:rsidR="00553F38" w:rsidRPr="005D4DF9" w:rsidRDefault="00B07FB9" w:rsidP="00553F38">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 xml:space="preserve">Spanish </w:t>
      </w:r>
      <w:r w:rsidR="00553F38" w:rsidRPr="005D4DF9">
        <w:rPr>
          <w:rFonts w:ascii="Book Antiqua" w:hAnsi="Book Antiqua"/>
          <w:b/>
          <w:bCs/>
          <w:sz w:val="20"/>
          <w:szCs w:val="20"/>
        </w:rPr>
        <w:t>national G</w:t>
      </w:r>
      <w:r w:rsidRPr="005D4DF9">
        <w:rPr>
          <w:rFonts w:ascii="Book Antiqua" w:hAnsi="Book Antiqua"/>
          <w:b/>
          <w:bCs/>
          <w:sz w:val="20"/>
          <w:szCs w:val="20"/>
        </w:rPr>
        <w:t xml:space="preserve">overnment’s set up an FDI screening mechanism </w:t>
      </w:r>
      <w:r w:rsidR="00553F38" w:rsidRPr="005D4DF9">
        <w:rPr>
          <w:rFonts w:ascii="Book Antiqua" w:hAnsi="Book Antiqua"/>
          <w:b/>
          <w:bCs/>
          <w:sz w:val="20"/>
          <w:szCs w:val="20"/>
        </w:rPr>
        <w:t>through an emergency rul</w:t>
      </w:r>
      <w:r w:rsidR="007B056E" w:rsidRPr="005D4DF9">
        <w:rPr>
          <w:rFonts w:ascii="Book Antiqua" w:hAnsi="Book Antiqua"/>
          <w:b/>
          <w:bCs/>
          <w:sz w:val="20"/>
          <w:szCs w:val="20"/>
        </w:rPr>
        <w:t>e</w:t>
      </w:r>
      <w:r w:rsidR="00553F38" w:rsidRPr="005D4DF9">
        <w:rPr>
          <w:rFonts w:ascii="Book Antiqua" w:hAnsi="Book Antiqua"/>
          <w:b/>
          <w:bCs/>
          <w:sz w:val="20"/>
          <w:szCs w:val="20"/>
        </w:rPr>
        <w:t xml:space="preserve"> </w:t>
      </w:r>
      <w:r w:rsidRPr="005D4DF9">
        <w:rPr>
          <w:rFonts w:ascii="Book Antiqua" w:hAnsi="Book Antiqua"/>
          <w:b/>
          <w:bCs/>
          <w:sz w:val="20"/>
          <w:szCs w:val="20"/>
        </w:rPr>
        <w:t>accelerated processes</w:t>
      </w:r>
      <w:r w:rsidRPr="005D4DF9">
        <w:rPr>
          <w:rFonts w:ascii="Book Antiqua" w:hAnsi="Book Antiqua"/>
          <w:sz w:val="20"/>
          <w:szCs w:val="20"/>
        </w:rPr>
        <w:t xml:space="preserve">.  On 17 March 2020, the Spanish government enacted </w:t>
      </w:r>
      <w:hyperlink r:id="rId14" w:history="1">
        <w:r w:rsidRPr="005D4DF9">
          <w:rPr>
            <w:rStyle w:val="Hyperlink"/>
            <w:rFonts w:ascii="Book Antiqua" w:hAnsi="Book Antiqua"/>
            <w:sz w:val="20"/>
            <w:szCs w:val="20"/>
          </w:rPr>
          <w:t>Royal Decree – Law no. 8/2020, on urgent and extraordinary measures to face the economic and social impact of COVID-19</w:t>
        </w:r>
      </w:hyperlink>
      <w:r w:rsidRPr="005D4DF9">
        <w:rPr>
          <w:rFonts w:ascii="Book Antiqua" w:hAnsi="Book Antiqua"/>
          <w:sz w:val="20"/>
          <w:szCs w:val="20"/>
        </w:rPr>
        <w:t xml:space="preserve">.  That was further amended </w:t>
      </w:r>
      <w:r w:rsidR="007B056E" w:rsidRPr="005D4DF9">
        <w:rPr>
          <w:rFonts w:ascii="Book Antiqua" w:hAnsi="Book Antiqua"/>
          <w:sz w:val="20"/>
          <w:szCs w:val="20"/>
        </w:rPr>
        <w:t xml:space="preserve">two weeks </w:t>
      </w:r>
      <w:r w:rsidR="00553F38" w:rsidRPr="005D4DF9">
        <w:rPr>
          <w:rFonts w:ascii="Book Antiqua" w:hAnsi="Book Antiqua"/>
          <w:sz w:val="20"/>
          <w:szCs w:val="20"/>
        </w:rPr>
        <w:t xml:space="preserve">later </w:t>
      </w:r>
      <w:r w:rsidRPr="005D4DF9">
        <w:rPr>
          <w:rFonts w:ascii="Book Antiqua" w:hAnsi="Book Antiqua"/>
          <w:sz w:val="20"/>
          <w:szCs w:val="20"/>
        </w:rPr>
        <w:t xml:space="preserve">with </w:t>
      </w:r>
      <w:hyperlink r:id="rId15" w:history="1">
        <w:r w:rsidRPr="005D4DF9">
          <w:rPr>
            <w:rStyle w:val="Hyperlink"/>
            <w:rFonts w:ascii="Book Antiqua" w:hAnsi="Book Antiqua"/>
            <w:sz w:val="20"/>
            <w:szCs w:val="20"/>
          </w:rPr>
          <w:t>Royal Decree – Law no. 11/2020</w:t>
        </w:r>
      </w:hyperlink>
      <w:r w:rsidRPr="005D4DF9">
        <w:rPr>
          <w:rFonts w:ascii="Book Antiqua" w:hAnsi="Book Antiqua"/>
          <w:sz w:val="20"/>
          <w:szCs w:val="20"/>
        </w:rPr>
        <w:t xml:space="preserve"> on 1 April 2020.</w:t>
      </w:r>
    </w:p>
    <w:p w14:paraId="1BE8CF91" w14:textId="77777777" w:rsidR="00553F38" w:rsidRPr="005D4DF9" w:rsidRDefault="00553F38" w:rsidP="00553F38">
      <w:pPr>
        <w:pStyle w:val="ListParagraph"/>
        <w:spacing w:before="240" w:after="240" w:line="276" w:lineRule="auto"/>
        <w:ind w:left="360"/>
        <w:jc w:val="both"/>
        <w:rPr>
          <w:rFonts w:ascii="Book Antiqua" w:hAnsi="Book Antiqua"/>
          <w:sz w:val="20"/>
          <w:szCs w:val="20"/>
        </w:rPr>
      </w:pPr>
    </w:p>
    <w:p w14:paraId="06B705E5" w14:textId="4AEA3B5E" w:rsidR="00B07FB9" w:rsidRPr="005D4DF9" w:rsidRDefault="00B07FB9" w:rsidP="00553F38">
      <w:pPr>
        <w:pStyle w:val="ListParagraph"/>
        <w:spacing w:before="240" w:after="240" w:line="276" w:lineRule="auto"/>
        <w:ind w:left="360"/>
        <w:jc w:val="both"/>
        <w:rPr>
          <w:rFonts w:ascii="Book Antiqua" w:hAnsi="Book Antiqua"/>
          <w:sz w:val="20"/>
          <w:szCs w:val="20"/>
        </w:rPr>
      </w:pPr>
      <w:r w:rsidRPr="005D4DF9">
        <w:rPr>
          <w:rFonts w:ascii="Book Antiqua" w:hAnsi="Book Antiqua"/>
          <w:sz w:val="20"/>
          <w:szCs w:val="20"/>
        </w:rPr>
        <w:t>The most important considerations are:</w:t>
      </w:r>
    </w:p>
    <w:p w14:paraId="16F46E47" w14:textId="77777777" w:rsidR="00086843" w:rsidRPr="005D4DF9" w:rsidRDefault="00086843" w:rsidP="00553F38">
      <w:pPr>
        <w:pStyle w:val="ListParagraph"/>
        <w:spacing w:before="240" w:after="240" w:line="276" w:lineRule="auto"/>
        <w:ind w:left="360"/>
        <w:jc w:val="both"/>
        <w:rPr>
          <w:rFonts w:ascii="Book Antiqua" w:hAnsi="Book Antiqua"/>
          <w:sz w:val="20"/>
          <w:szCs w:val="20"/>
        </w:rPr>
      </w:pPr>
    </w:p>
    <w:p w14:paraId="173BD7D3" w14:textId="3283025D" w:rsidR="00553F38" w:rsidRPr="005D4DF9" w:rsidRDefault="00553F38" w:rsidP="00086843">
      <w:pPr>
        <w:pStyle w:val="ListParagraph"/>
        <w:numPr>
          <w:ilvl w:val="1"/>
          <w:numId w:val="3"/>
        </w:numPr>
        <w:spacing w:before="240" w:after="240" w:line="276" w:lineRule="auto"/>
        <w:ind w:left="720"/>
        <w:jc w:val="both"/>
        <w:rPr>
          <w:rFonts w:ascii="Book Antiqua" w:hAnsi="Book Antiqua"/>
          <w:sz w:val="20"/>
          <w:szCs w:val="20"/>
        </w:rPr>
      </w:pPr>
      <w:r w:rsidRPr="005D4DF9">
        <w:rPr>
          <w:rFonts w:ascii="Book Antiqua" w:hAnsi="Book Antiqua"/>
          <w:sz w:val="20"/>
          <w:szCs w:val="20"/>
        </w:rPr>
        <w:t>Royal Decree 8 largely copies the EU provisions with very wide</w:t>
      </w:r>
      <w:r w:rsidR="007B056E" w:rsidRPr="005D4DF9">
        <w:rPr>
          <w:rFonts w:ascii="Book Antiqua" w:hAnsi="Book Antiqua"/>
          <w:sz w:val="20"/>
          <w:szCs w:val="20"/>
        </w:rPr>
        <w:t>,</w:t>
      </w:r>
      <w:r w:rsidRPr="005D4DF9">
        <w:rPr>
          <w:rFonts w:ascii="Book Antiqua" w:hAnsi="Book Antiqua"/>
          <w:sz w:val="20"/>
          <w:szCs w:val="20"/>
        </w:rPr>
        <w:t xml:space="preserve"> and somewhat vague</w:t>
      </w:r>
      <w:r w:rsidR="007B056E" w:rsidRPr="005D4DF9">
        <w:rPr>
          <w:rFonts w:ascii="Book Antiqua" w:hAnsi="Book Antiqua"/>
          <w:sz w:val="20"/>
          <w:szCs w:val="20"/>
        </w:rPr>
        <w:t>,</w:t>
      </w:r>
      <w:r w:rsidRPr="005D4DF9">
        <w:rPr>
          <w:rFonts w:ascii="Book Antiqua" w:hAnsi="Book Antiqua"/>
          <w:sz w:val="20"/>
          <w:szCs w:val="20"/>
        </w:rPr>
        <w:t xml:space="preserve"> interpretations</w:t>
      </w:r>
      <w:r w:rsidR="007B056E" w:rsidRPr="005D4DF9">
        <w:rPr>
          <w:rFonts w:ascii="Book Antiqua" w:hAnsi="Book Antiqua"/>
          <w:sz w:val="20"/>
          <w:szCs w:val="20"/>
        </w:rPr>
        <w:t xml:space="preserve"> and definitions</w:t>
      </w:r>
      <w:r w:rsidRPr="005D4DF9">
        <w:rPr>
          <w:rFonts w:ascii="Book Antiqua" w:hAnsi="Book Antiqua"/>
          <w:sz w:val="20"/>
          <w:szCs w:val="20"/>
        </w:rPr>
        <w:t>.</w:t>
      </w:r>
      <w:r w:rsidR="005D6324" w:rsidRPr="005D4DF9">
        <w:rPr>
          <w:rFonts w:ascii="Book Antiqua" w:hAnsi="Book Antiqua"/>
          <w:sz w:val="20"/>
          <w:szCs w:val="20"/>
        </w:rPr>
        <w:t xml:space="preserve">  </w:t>
      </w:r>
      <w:r w:rsidRPr="005D4DF9">
        <w:rPr>
          <w:rFonts w:ascii="Book Antiqua" w:hAnsi="Book Antiqua"/>
          <w:sz w:val="20"/>
          <w:szCs w:val="20"/>
        </w:rPr>
        <w:t>FDI will need authorisation by the Spanish Government directly.  If a transaction does not fulfil the requirements</w:t>
      </w:r>
      <w:r w:rsidR="007B056E" w:rsidRPr="005D4DF9">
        <w:rPr>
          <w:rFonts w:ascii="Book Antiqua" w:hAnsi="Book Antiqua"/>
          <w:sz w:val="20"/>
          <w:szCs w:val="20"/>
        </w:rPr>
        <w:t>, it</w:t>
      </w:r>
      <w:r w:rsidRPr="005D4DF9">
        <w:rPr>
          <w:rFonts w:ascii="Book Antiqua" w:hAnsi="Book Antiqua"/>
          <w:sz w:val="20"/>
          <w:szCs w:val="20"/>
        </w:rPr>
        <w:t xml:space="preserve"> will be declared null and void</w:t>
      </w:r>
      <w:r w:rsidR="00C25248" w:rsidRPr="005D4DF9">
        <w:rPr>
          <w:rFonts w:ascii="Book Antiqua" w:hAnsi="Book Antiqua"/>
          <w:sz w:val="20"/>
          <w:szCs w:val="20"/>
        </w:rPr>
        <w:t>, although it is possible to obtain an ex-post legalization for it</w:t>
      </w:r>
      <w:r w:rsidRPr="005D4DF9">
        <w:rPr>
          <w:rFonts w:ascii="Book Antiqua" w:hAnsi="Book Antiqua"/>
          <w:sz w:val="20"/>
          <w:szCs w:val="20"/>
        </w:rPr>
        <w:t xml:space="preserve">.  </w:t>
      </w:r>
      <w:r w:rsidR="00B63A48" w:rsidRPr="005D4DF9">
        <w:rPr>
          <w:rFonts w:ascii="Book Antiqua" w:hAnsi="Book Antiqua"/>
          <w:sz w:val="20"/>
          <w:szCs w:val="20"/>
        </w:rPr>
        <w:t>F</w:t>
      </w:r>
      <w:r w:rsidRPr="005D4DF9">
        <w:rPr>
          <w:rFonts w:ascii="Book Antiqua" w:hAnsi="Book Antiqua"/>
          <w:sz w:val="20"/>
          <w:szCs w:val="20"/>
        </w:rPr>
        <w:t>ines may be imposed up to the value of the transaction.</w:t>
      </w:r>
    </w:p>
    <w:p w14:paraId="66FE7563" w14:textId="77777777" w:rsidR="00086843" w:rsidRPr="005D4DF9" w:rsidRDefault="00086843" w:rsidP="00086843">
      <w:pPr>
        <w:pStyle w:val="ListParagraph"/>
        <w:spacing w:before="240" w:after="240" w:line="276" w:lineRule="auto"/>
        <w:jc w:val="both"/>
        <w:rPr>
          <w:rFonts w:ascii="Book Antiqua" w:hAnsi="Book Antiqua"/>
          <w:sz w:val="20"/>
          <w:szCs w:val="20"/>
        </w:rPr>
      </w:pPr>
    </w:p>
    <w:p w14:paraId="42DAFCE4" w14:textId="64913AA0" w:rsidR="005D6324" w:rsidRPr="005D4DF9" w:rsidRDefault="005D6324" w:rsidP="00086843">
      <w:pPr>
        <w:pStyle w:val="ListParagraph"/>
        <w:numPr>
          <w:ilvl w:val="1"/>
          <w:numId w:val="3"/>
        </w:numPr>
        <w:spacing w:before="240" w:after="240" w:line="276" w:lineRule="auto"/>
        <w:ind w:left="720"/>
        <w:jc w:val="both"/>
        <w:rPr>
          <w:rFonts w:ascii="Book Antiqua" w:hAnsi="Book Antiqua"/>
          <w:b/>
          <w:bCs/>
          <w:sz w:val="20"/>
          <w:szCs w:val="20"/>
        </w:rPr>
      </w:pPr>
      <w:r w:rsidRPr="005D4DF9">
        <w:rPr>
          <w:rFonts w:ascii="Book Antiqua" w:hAnsi="Book Antiqua"/>
          <w:sz w:val="20"/>
          <w:szCs w:val="20"/>
        </w:rPr>
        <w:t xml:space="preserve">Royal Decree 11 adds onto the existing FDI mechanism setting up </w:t>
      </w:r>
      <w:r w:rsidR="00B07FB9" w:rsidRPr="005D4DF9">
        <w:rPr>
          <w:rFonts w:ascii="Book Antiqua" w:hAnsi="Book Antiqua"/>
          <w:sz w:val="20"/>
          <w:szCs w:val="20"/>
        </w:rPr>
        <w:t>a “</w:t>
      </w:r>
      <w:r w:rsidR="007B056E" w:rsidRPr="005D4DF9">
        <w:rPr>
          <w:rFonts w:ascii="Book Antiqua" w:hAnsi="Book Antiqua"/>
          <w:sz w:val="20"/>
          <w:szCs w:val="20"/>
        </w:rPr>
        <w:t>lo</w:t>
      </w:r>
      <w:r w:rsidR="00B07FB9" w:rsidRPr="005D4DF9">
        <w:rPr>
          <w:rFonts w:ascii="Book Antiqua" w:hAnsi="Book Antiqua"/>
          <w:sz w:val="20"/>
          <w:szCs w:val="20"/>
        </w:rPr>
        <w:t xml:space="preserve">ok through/lifting the veil” </w:t>
      </w:r>
      <w:r w:rsidRPr="005D4DF9">
        <w:rPr>
          <w:rFonts w:ascii="Book Antiqua" w:hAnsi="Book Antiqua"/>
          <w:sz w:val="20"/>
          <w:szCs w:val="20"/>
        </w:rPr>
        <w:t xml:space="preserve">function to identify the ultimate beneficial investor in a transaction.  </w:t>
      </w:r>
      <w:r w:rsidRPr="005D4DF9">
        <w:rPr>
          <w:rFonts w:ascii="Book Antiqua" w:hAnsi="Book Antiqua"/>
          <w:b/>
          <w:bCs/>
          <w:sz w:val="20"/>
          <w:szCs w:val="20"/>
        </w:rPr>
        <w:t xml:space="preserve">The </w:t>
      </w:r>
      <w:r w:rsidR="00B07FB9" w:rsidRPr="005D4DF9">
        <w:rPr>
          <w:rFonts w:ascii="Book Antiqua" w:hAnsi="Book Antiqua"/>
          <w:b/>
          <w:bCs/>
          <w:sz w:val="20"/>
          <w:szCs w:val="20"/>
        </w:rPr>
        <w:t xml:space="preserve">FDI mechanism will apply </w:t>
      </w:r>
      <w:r w:rsidRPr="005D4DF9">
        <w:rPr>
          <w:rFonts w:ascii="Book Antiqua" w:hAnsi="Book Antiqua"/>
          <w:b/>
          <w:bCs/>
          <w:sz w:val="20"/>
          <w:szCs w:val="20"/>
        </w:rPr>
        <w:t>to transactions</w:t>
      </w:r>
      <w:r w:rsidR="00B07FB9" w:rsidRPr="005D4DF9">
        <w:rPr>
          <w:rFonts w:ascii="Book Antiqua" w:hAnsi="Book Antiqua"/>
          <w:b/>
          <w:bCs/>
          <w:sz w:val="20"/>
          <w:szCs w:val="20"/>
        </w:rPr>
        <w:t xml:space="preserve"> whose beneficial </w:t>
      </w:r>
      <w:r w:rsidRPr="005D4DF9">
        <w:rPr>
          <w:rFonts w:ascii="Book Antiqua" w:hAnsi="Book Antiqua"/>
          <w:b/>
          <w:bCs/>
          <w:sz w:val="20"/>
          <w:szCs w:val="20"/>
        </w:rPr>
        <w:t xml:space="preserve">investor(s) </w:t>
      </w:r>
      <w:r w:rsidR="00B07FB9" w:rsidRPr="005D4DF9">
        <w:rPr>
          <w:rFonts w:ascii="Book Antiqua" w:hAnsi="Book Antiqua"/>
          <w:b/>
          <w:bCs/>
          <w:sz w:val="20"/>
          <w:szCs w:val="20"/>
        </w:rPr>
        <w:t>(</w:t>
      </w:r>
      <w:r w:rsidR="00B63A48" w:rsidRPr="005D4DF9">
        <w:rPr>
          <w:rFonts w:ascii="Book Antiqua" w:hAnsi="Book Antiqua"/>
          <w:b/>
          <w:bCs/>
          <w:sz w:val="20"/>
          <w:szCs w:val="20"/>
        </w:rPr>
        <w:t xml:space="preserve">i.e. </w:t>
      </w:r>
      <w:r w:rsidR="00B07FB9" w:rsidRPr="005D4DF9">
        <w:rPr>
          <w:rFonts w:ascii="Book Antiqua" w:hAnsi="Book Antiqua"/>
          <w:b/>
          <w:bCs/>
          <w:sz w:val="20"/>
          <w:szCs w:val="20"/>
        </w:rPr>
        <w:t xml:space="preserve">more than 25% of capital) </w:t>
      </w:r>
      <w:r w:rsidRPr="005D4DF9">
        <w:rPr>
          <w:rFonts w:ascii="Book Antiqua" w:hAnsi="Book Antiqua"/>
          <w:b/>
          <w:bCs/>
          <w:sz w:val="20"/>
          <w:szCs w:val="20"/>
        </w:rPr>
        <w:t xml:space="preserve">is </w:t>
      </w:r>
      <w:r w:rsidR="00B07FB9" w:rsidRPr="005D4DF9">
        <w:rPr>
          <w:rFonts w:ascii="Book Antiqua" w:hAnsi="Book Antiqua"/>
          <w:b/>
          <w:bCs/>
          <w:sz w:val="20"/>
          <w:szCs w:val="20"/>
        </w:rPr>
        <w:t xml:space="preserve">foreign. </w:t>
      </w:r>
    </w:p>
    <w:p w14:paraId="33A92F71" w14:textId="77777777" w:rsidR="005D6324" w:rsidRPr="005D4DF9" w:rsidRDefault="005D6324" w:rsidP="00086843">
      <w:pPr>
        <w:pStyle w:val="ListParagraph"/>
        <w:spacing w:before="240" w:after="240" w:line="276" w:lineRule="auto"/>
        <w:ind w:left="1440"/>
        <w:jc w:val="both"/>
        <w:rPr>
          <w:rFonts w:ascii="Book Antiqua" w:hAnsi="Book Antiqua"/>
          <w:sz w:val="20"/>
          <w:szCs w:val="20"/>
        </w:rPr>
      </w:pPr>
    </w:p>
    <w:p w14:paraId="770F5743" w14:textId="3C75B37E" w:rsidR="00B07FB9" w:rsidRPr="005D4DF9" w:rsidRDefault="00B07FB9" w:rsidP="00086843">
      <w:pPr>
        <w:pStyle w:val="ListParagraph"/>
        <w:numPr>
          <w:ilvl w:val="1"/>
          <w:numId w:val="3"/>
        </w:numPr>
        <w:spacing w:before="240" w:after="240" w:line="276" w:lineRule="auto"/>
        <w:ind w:left="720"/>
        <w:jc w:val="both"/>
        <w:rPr>
          <w:rFonts w:ascii="Book Antiqua" w:hAnsi="Book Antiqua"/>
          <w:sz w:val="20"/>
          <w:szCs w:val="20"/>
        </w:rPr>
      </w:pPr>
      <w:r w:rsidRPr="005D4DF9">
        <w:rPr>
          <w:rFonts w:ascii="Book Antiqua" w:hAnsi="Book Antiqua"/>
          <w:sz w:val="20"/>
          <w:szCs w:val="20"/>
        </w:rPr>
        <w:t xml:space="preserve">Transactions already signed but pending of closing </w:t>
      </w:r>
      <w:r w:rsidR="005D6324" w:rsidRPr="005D4DF9">
        <w:rPr>
          <w:rFonts w:ascii="Book Antiqua" w:hAnsi="Book Antiqua"/>
          <w:sz w:val="20"/>
          <w:szCs w:val="20"/>
        </w:rPr>
        <w:t xml:space="preserve">will need to </w:t>
      </w:r>
      <w:r w:rsidRPr="005D4DF9">
        <w:rPr>
          <w:rFonts w:ascii="Book Antiqua" w:hAnsi="Book Antiqua"/>
          <w:sz w:val="20"/>
          <w:szCs w:val="20"/>
        </w:rPr>
        <w:t xml:space="preserve">be authorised </w:t>
      </w:r>
      <w:r w:rsidR="005D6324" w:rsidRPr="005D4DF9">
        <w:rPr>
          <w:rFonts w:ascii="Book Antiqua" w:hAnsi="Book Antiqua"/>
          <w:sz w:val="20"/>
          <w:szCs w:val="20"/>
        </w:rPr>
        <w:t xml:space="preserve">under the </w:t>
      </w:r>
      <w:r w:rsidR="00530D08" w:rsidRPr="005D4DF9">
        <w:rPr>
          <w:rFonts w:ascii="Book Antiqua" w:hAnsi="Book Antiqua"/>
          <w:sz w:val="20"/>
          <w:szCs w:val="20"/>
        </w:rPr>
        <w:t xml:space="preserve">Spanish </w:t>
      </w:r>
      <w:r w:rsidR="005D6324" w:rsidRPr="005D4DF9">
        <w:rPr>
          <w:rFonts w:ascii="Book Antiqua" w:hAnsi="Book Antiqua"/>
          <w:sz w:val="20"/>
          <w:szCs w:val="20"/>
        </w:rPr>
        <w:t>FDI mechanism</w:t>
      </w:r>
      <w:r w:rsidR="00C00BF7" w:rsidRPr="005D4DF9">
        <w:rPr>
          <w:rFonts w:ascii="Book Antiqua" w:hAnsi="Book Antiqua"/>
          <w:sz w:val="20"/>
          <w:szCs w:val="20"/>
        </w:rPr>
        <w:t>, too</w:t>
      </w:r>
      <w:r w:rsidR="005D6324" w:rsidRPr="005D4DF9">
        <w:rPr>
          <w:rFonts w:ascii="Book Antiqua" w:hAnsi="Book Antiqua"/>
          <w:sz w:val="20"/>
          <w:szCs w:val="20"/>
        </w:rPr>
        <w:t>.  However, this will be done through a fast-track procedure by lower officials (not the Spanish Cabinet).</w:t>
      </w:r>
      <w:r w:rsidRPr="005D4DF9">
        <w:rPr>
          <w:rFonts w:ascii="Book Antiqua" w:hAnsi="Book Antiqua"/>
          <w:sz w:val="20"/>
          <w:szCs w:val="20"/>
        </w:rPr>
        <w:t xml:space="preserve"> </w:t>
      </w:r>
    </w:p>
    <w:p w14:paraId="75BE7508" w14:textId="77777777" w:rsidR="005D6324" w:rsidRPr="005D4DF9" w:rsidRDefault="005D6324" w:rsidP="005D6324">
      <w:pPr>
        <w:pStyle w:val="ListParagraph"/>
        <w:spacing w:before="240" w:after="240" w:line="276" w:lineRule="auto"/>
        <w:ind w:left="1080"/>
        <w:jc w:val="both"/>
        <w:rPr>
          <w:rFonts w:ascii="Book Antiqua" w:hAnsi="Book Antiqua"/>
          <w:sz w:val="20"/>
          <w:szCs w:val="20"/>
        </w:rPr>
      </w:pPr>
    </w:p>
    <w:p w14:paraId="22938E8B" w14:textId="1A9C5B36" w:rsidR="00B07FB9" w:rsidRPr="005D4DF9" w:rsidRDefault="005D6324" w:rsidP="005D6324">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There are serious doubts whether this measure will be temporary</w:t>
      </w:r>
      <w:r w:rsidRPr="005D4DF9">
        <w:rPr>
          <w:rFonts w:ascii="Book Antiqua" w:hAnsi="Book Antiqua"/>
          <w:sz w:val="20"/>
          <w:szCs w:val="20"/>
        </w:rPr>
        <w:t xml:space="preserve">.  Royal Decrees 8 and 11 are </w:t>
      </w:r>
      <w:r w:rsidR="00B63A48" w:rsidRPr="005D4DF9">
        <w:rPr>
          <w:rFonts w:ascii="Book Antiqua" w:hAnsi="Book Antiqua"/>
          <w:sz w:val="20"/>
          <w:szCs w:val="20"/>
        </w:rPr>
        <w:t xml:space="preserve">emergency legislation </w:t>
      </w:r>
      <w:r w:rsidRPr="005D4DF9">
        <w:rPr>
          <w:rFonts w:ascii="Book Antiqua" w:hAnsi="Book Antiqua"/>
          <w:sz w:val="20"/>
          <w:szCs w:val="20"/>
        </w:rPr>
        <w:t>due to last only for one month.  However, the mechanism</w:t>
      </w:r>
      <w:r w:rsidR="00BB1900" w:rsidRPr="005D4DF9">
        <w:rPr>
          <w:rFonts w:ascii="Book Antiqua" w:hAnsi="Book Antiqua"/>
          <w:sz w:val="20"/>
          <w:szCs w:val="20"/>
        </w:rPr>
        <w:t>s</w:t>
      </w:r>
      <w:r w:rsidRPr="005D4DF9">
        <w:rPr>
          <w:rFonts w:ascii="Book Antiqua" w:hAnsi="Book Antiqua"/>
          <w:sz w:val="20"/>
          <w:szCs w:val="20"/>
        </w:rPr>
        <w:t xml:space="preserve"> they put in place </w:t>
      </w:r>
      <w:r w:rsidR="00BB1900" w:rsidRPr="005D4DF9">
        <w:rPr>
          <w:rFonts w:ascii="Book Antiqua" w:hAnsi="Book Antiqua"/>
          <w:sz w:val="20"/>
          <w:szCs w:val="20"/>
        </w:rPr>
        <w:t xml:space="preserve">has a longer time frame of action.  The </w:t>
      </w:r>
      <w:r w:rsidR="00B07FB9" w:rsidRPr="005D4DF9">
        <w:rPr>
          <w:rFonts w:ascii="Book Antiqua" w:hAnsi="Book Antiqua"/>
          <w:sz w:val="20"/>
          <w:szCs w:val="20"/>
        </w:rPr>
        <w:t xml:space="preserve">question inevitably arises as to whether </w:t>
      </w:r>
      <w:r w:rsidR="00BB1900" w:rsidRPr="005D4DF9">
        <w:rPr>
          <w:rFonts w:ascii="Book Antiqua" w:hAnsi="Book Antiqua"/>
          <w:sz w:val="20"/>
          <w:szCs w:val="20"/>
        </w:rPr>
        <w:t>the decrees will be extended or converted in</w:t>
      </w:r>
      <w:r w:rsidR="00B63A48" w:rsidRPr="005D4DF9">
        <w:rPr>
          <w:rFonts w:ascii="Book Antiqua" w:hAnsi="Book Antiqua"/>
          <w:sz w:val="20"/>
          <w:szCs w:val="20"/>
        </w:rPr>
        <w:t>to</w:t>
      </w:r>
      <w:r w:rsidR="00BB1900" w:rsidRPr="005D4DF9">
        <w:rPr>
          <w:rFonts w:ascii="Book Antiqua" w:hAnsi="Book Antiqua"/>
          <w:sz w:val="20"/>
          <w:szCs w:val="20"/>
        </w:rPr>
        <w:t xml:space="preserve"> permanent law.</w:t>
      </w:r>
      <w:r w:rsidR="00B07FB9" w:rsidRPr="005D4DF9">
        <w:rPr>
          <w:rFonts w:ascii="Book Antiqua" w:hAnsi="Book Antiqua"/>
          <w:sz w:val="20"/>
          <w:szCs w:val="20"/>
        </w:rPr>
        <w:t xml:space="preserve"> </w:t>
      </w:r>
    </w:p>
    <w:p w14:paraId="11D01EE0" w14:textId="24286880" w:rsidR="00B07FB9" w:rsidRPr="005D4DF9" w:rsidRDefault="00B07FB9" w:rsidP="00B07FB9">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Spanish government now legislates </w:t>
      </w:r>
      <w:r w:rsidR="00C00BF7" w:rsidRPr="005D4DF9">
        <w:rPr>
          <w:rFonts w:ascii="Book Antiqua" w:hAnsi="Book Antiqua"/>
          <w:sz w:val="20"/>
          <w:szCs w:val="20"/>
        </w:rPr>
        <w:t xml:space="preserve">using a </w:t>
      </w:r>
      <w:r w:rsidRPr="005D4DF9">
        <w:rPr>
          <w:rFonts w:ascii="Book Antiqua" w:hAnsi="Book Antiqua"/>
          <w:sz w:val="20"/>
          <w:szCs w:val="20"/>
        </w:rPr>
        <w:t xml:space="preserve">fast track process, without going through parliamentary debate. </w:t>
      </w:r>
      <w:r w:rsidR="00BB1900" w:rsidRPr="005D4DF9">
        <w:rPr>
          <w:rFonts w:ascii="Book Antiqua" w:hAnsi="Book Antiqua"/>
          <w:sz w:val="20"/>
          <w:szCs w:val="20"/>
        </w:rPr>
        <w:t xml:space="preserve"> </w:t>
      </w:r>
      <w:r w:rsidR="00530D08" w:rsidRPr="005D4DF9">
        <w:rPr>
          <w:rFonts w:ascii="Book Antiqua" w:hAnsi="Book Antiqua"/>
          <w:sz w:val="20"/>
          <w:szCs w:val="20"/>
        </w:rPr>
        <w:t>It is u</w:t>
      </w:r>
      <w:r w:rsidR="00BB1900" w:rsidRPr="005D4DF9">
        <w:rPr>
          <w:rFonts w:ascii="Book Antiqua" w:hAnsi="Book Antiqua"/>
          <w:sz w:val="20"/>
          <w:szCs w:val="20"/>
        </w:rPr>
        <w:t xml:space="preserve">nclear whether the Spanish Parliament </w:t>
      </w:r>
      <w:r w:rsidR="00C00BF7" w:rsidRPr="005D4DF9">
        <w:rPr>
          <w:rFonts w:ascii="Book Antiqua" w:hAnsi="Book Antiqua"/>
          <w:sz w:val="20"/>
          <w:szCs w:val="20"/>
        </w:rPr>
        <w:t xml:space="preserve">will </w:t>
      </w:r>
      <w:r w:rsidR="00BB1900" w:rsidRPr="005D4DF9">
        <w:rPr>
          <w:rFonts w:ascii="Book Antiqua" w:hAnsi="Book Antiqua"/>
          <w:sz w:val="20"/>
          <w:szCs w:val="20"/>
        </w:rPr>
        <w:t>be given the chance to scrutinise and fine tune this legislation after the crisis</w:t>
      </w:r>
      <w:r w:rsidRPr="005D4DF9">
        <w:rPr>
          <w:rFonts w:ascii="Book Antiqua" w:hAnsi="Book Antiqua"/>
          <w:sz w:val="20"/>
          <w:szCs w:val="20"/>
        </w:rPr>
        <w:t>.</w:t>
      </w:r>
    </w:p>
    <w:p w14:paraId="49F7EB0A" w14:textId="413E3669" w:rsidR="00BB1900" w:rsidRPr="005D4DF9" w:rsidRDefault="00BB1900" w:rsidP="00BB1900">
      <w:pPr>
        <w:spacing w:before="240" w:after="240" w:line="276" w:lineRule="auto"/>
        <w:jc w:val="both"/>
        <w:rPr>
          <w:rFonts w:ascii="Book Antiqua" w:hAnsi="Book Antiqua"/>
          <w:b/>
          <w:bCs/>
          <w:sz w:val="20"/>
          <w:szCs w:val="20"/>
        </w:rPr>
      </w:pPr>
      <w:r w:rsidRPr="005D4DF9">
        <w:rPr>
          <w:rFonts w:ascii="Book Antiqua" w:hAnsi="Book Antiqua"/>
          <w:b/>
          <w:bCs/>
          <w:sz w:val="20"/>
          <w:szCs w:val="20"/>
        </w:rPr>
        <w:t>CARLO PETTINATO</w:t>
      </w:r>
      <w:r w:rsidR="00530D08" w:rsidRPr="005D4DF9">
        <w:rPr>
          <w:rFonts w:ascii="Book Antiqua" w:hAnsi="Book Antiqua"/>
          <w:b/>
          <w:bCs/>
          <w:sz w:val="20"/>
          <w:szCs w:val="20"/>
        </w:rPr>
        <w:t xml:space="preserve"> – Q&amp;A (answers only)</w:t>
      </w:r>
    </w:p>
    <w:p w14:paraId="2471C025" w14:textId="52F8E01A" w:rsidR="00BB1900" w:rsidRPr="005D4DF9" w:rsidRDefault="00BB1900" w:rsidP="00BB1900">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The Commission’s</w:t>
      </w:r>
      <w:r w:rsidR="00B07FB9" w:rsidRPr="005D4DF9">
        <w:rPr>
          <w:rFonts w:ascii="Book Antiqua" w:hAnsi="Book Antiqua"/>
          <w:sz w:val="20"/>
          <w:szCs w:val="20"/>
        </w:rPr>
        <w:t xml:space="preserve"> number one priority is to </w:t>
      </w:r>
      <w:r w:rsidRPr="005D4DF9">
        <w:rPr>
          <w:rFonts w:ascii="Book Antiqua" w:hAnsi="Book Antiqua"/>
          <w:sz w:val="20"/>
          <w:szCs w:val="20"/>
        </w:rPr>
        <w:t xml:space="preserve">establish </w:t>
      </w:r>
      <w:r w:rsidR="00B07FB9" w:rsidRPr="005D4DF9">
        <w:rPr>
          <w:rFonts w:ascii="Book Antiqua" w:hAnsi="Book Antiqua"/>
          <w:sz w:val="20"/>
          <w:szCs w:val="20"/>
        </w:rPr>
        <w:t xml:space="preserve">that </w:t>
      </w:r>
      <w:r w:rsidRPr="005D4DF9">
        <w:rPr>
          <w:rFonts w:ascii="Book Antiqua" w:hAnsi="Book Antiqua"/>
          <w:sz w:val="20"/>
          <w:szCs w:val="20"/>
        </w:rPr>
        <w:t xml:space="preserve">the EU FDI screening mechanism </w:t>
      </w:r>
      <w:r w:rsidR="00B07FB9" w:rsidRPr="005D4DF9">
        <w:rPr>
          <w:rFonts w:ascii="Book Antiqua" w:hAnsi="Book Antiqua"/>
          <w:sz w:val="20"/>
          <w:szCs w:val="20"/>
        </w:rPr>
        <w:t>has very clear rules.</w:t>
      </w:r>
      <w:r w:rsidRPr="005D4DF9">
        <w:rPr>
          <w:rFonts w:ascii="Book Antiqua" w:hAnsi="Book Antiqua"/>
          <w:sz w:val="20"/>
          <w:szCs w:val="20"/>
        </w:rPr>
        <w:t xml:space="preserve"> </w:t>
      </w:r>
      <w:r w:rsidR="00B07FB9" w:rsidRPr="005D4DF9">
        <w:rPr>
          <w:rFonts w:ascii="Book Antiqua" w:hAnsi="Book Antiqua"/>
          <w:sz w:val="20"/>
          <w:szCs w:val="20"/>
        </w:rPr>
        <w:t xml:space="preserve"> </w:t>
      </w:r>
      <w:r w:rsidRPr="005D4DF9">
        <w:rPr>
          <w:rFonts w:ascii="Book Antiqua" w:hAnsi="Book Antiqua"/>
          <w:sz w:val="20"/>
          <w:szCs w:val="20"/>
        </w:rPr>
        <w:t xml:space="preserve">The EU needs foreign investment after this crisis is over; therefore, the EU wants to signal that it is not closing.  </w:t>
      </w:r>
      <w:r w:rsidRPr="005D4DF9">
        <w:rPr>
          <w:rFonts w:ascii="Book Antiqua" w:hAnsi="Book Antiqua"/>
          <w:b/>
          <w:bCs/>
          <w:sz w:val="20"/>
          <w:szCs w:val="20"/>
        </w:rPr>
        <w:t>The Guidelines were issued as a form of clarification to prevent a run on assets during the crisis.</w:t>
      </w:r>
      <w:r w:rsidR="00530D08" w:rsidRPr="005D4DF9">
        <w:rPr>
          <w:rFonts w:ascii="Book Antiqua" w:hAnsi="Book Antiqua"/>
          <w:b/>
          <w:bCs/>
          <w:sz w:val="20"/>
          <w:szCs w:val="20"/>
        </w:rPr>
        <w:t xml:space="preserve">  </w:t>
      </w:r>
      <w:r w:rsidR="00530D08" w:rsidRPr="005D4DF9">
        <w:rPr>
          <w:rFonts w:ascii="Book Antiqua" w:hAnsi="Book Antiqua"/>
          <w:sz w:val="20"/>
          <w:szCs w:val="20"/>
        </w:rPr>
        <w:t xml:space="preserve">The Commission is interested in preserving the European critical industries and projects throughout the crisis.  This endeavour will play a crucial role in the </w:t>
      </w:r>
      <w:r w:rsidR="00C00BF7" w:rsidRPr="005D4DF9">
        <w:rPr>
          <w:rFonts w:ascii="Book Antiqua" w:hAnsi="Book Antiqua"/>
          <w:sz w:val="20"/>
          <w:szCs w:val="20"/>
        </w:rPr>
        <w:t>economic recovery</w:t>
      </w:r>
      <w:r w:rsidR="00530D08" w:rsidRPr="005D4DF9">
        <w:rPr>
          <w:rFonts w:ascii="Book Antiqua" w:hAnsi="Book Antiqua"/>
          <w:sz w:val="20"/>
          <w:szCs w:val="20"/>
        </w:rPr>
        <w:t>.</w:t>
      </w:r>
    </w:p>
    <w:p w14:paraId="03051625" w14:textId="77777777" w:rsidR="00BB1900" w:rsidRPr="005D4DF9" w:rsidRDefault="00BB1900" w:rsidP="00BB1900">
      <w:pPr>
        <w:pStyle w:val="ListParagraph"/>
        <w:spacing w:before="240" w:after="240" w:line="276" w:lineRule="auto"/>
        <w:ind w:left="360"/>
        <w:jc w:val="both"/>
        <w:rPr>
          <w:rFonts w:ascii="Book Antiqua" w:hAnsi="Book Antiqua"/>
          <w:sz w:val="20"/>
          <w:szCs w:val="20"/>
        </w:rPr>
      </w:pPr>
    </w:p>
    <w:p w14:paraId="57A24267" w14:textId="30BA1DDD" w:rsidR="00BB1900" w:rsidRPr="005D4DF9" w:rsidRDefault="00B07FB9" w:rsidP="00BB1900">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Member States </w:t>
      </w:r>
      <w:r w:rsidR="00BB1900" w:rsidRPr="005D4DF9">
        <w:rPr>
          <w:rFonts w:ascii="Book Antiqua" w:hAnsi="Book Antiqua"/>
          <w:sz w:val="20"/>
          <w:szCs w:val="20"/>
        </w:rPr>
        <w:t xml:space="preserve">can require the </w:t>
      </w:r>
      <w:r w:rsidR="00C00BF7" w:rsidRPr="005D4DF9">
        <w:rPr>
          <w:rFonts w:ascii="Book Antiqua" w:hAnsi="Book Antiqua"/>
          <w:sz w:val="20"/>
          <w:szCs w:val="20"/>
        </w:rPr>
        <w:t xml:space="preserve">parties to the </w:t>
      </w:r>
      <w:r w:rsidR="00BB1900" w:rsidRPr="005D4DF9">
        <w:rPr>
          <w:rFonts w:ascii="Book Antiqua" w:hAnsi="Book Antiqua"/>
          <w:sz w:val="20"/>
          <w:szCs w:val="20"/>
        </w:rPr>
        <w:t xml:space="preserve">transaction to disclose the ultimate ownership.  Equally, Member States are able to </w:t>
      </w:r>
      <w:r w:rsidR="00C00BF7" w:rsidRPr="005D4DF9">
        <w:rPr>
          <w:rFonts w:ascii="Book Antiqua" w:hAnsi="Book Antiqua"/>
          <w:sz w:val="20"/>
          <w:szCs w:val="20"/>
        </w:rPr>
        <w:t xml:space="preserve">screen </w:t>
      </w:r>
      <w:r w:rsidR="00BB1900" w:rsidRPr="005D4DF9">
        <w:rPr>
          <w:rFonts w:ascii="Book Antiqua" w:hAnsi="Book Antiqua"/>
          <w:sz w:val="20"/>
          <w:szCs w:val="20"/>
        </w:rPr>
        <w:t>FDI from other Member States under national law—EU law does not restrict Member States from using national regimes to screen intra-EU FDI.</w:t>
      </w:r>
    </w:p>
    <w:p w14:paraId="06DA4668" w14:textId="77777777" w:rsidR="00BB1900" w:rsidRPr="005D4DF9" w:rsidRDefault="00BB1900" w:rsidP="00BB1900">
      <w:pPr>
        <w:pStyle w:val="ListParagraph"/>
        <w:rPr>
          <w:rFonts w:ascii="Book Antiqua" w:hAnsi="Book Antiqua"/>
          <w:sz w:val="20"/>
          <w:szCs w:val="20"/>
        </w:rPr>
      </w:pPr>
    </w:p>
    <w:p w14:paraId="783D2993" w14:textId="1868B583" w:rsidR="00B07FB9" w:rsidRPr="005D4DF9" w:rsidRDefault="00BB1900" w:rsidP="00BB1900">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However, Member states </w:t>
      </w:r>
      <w:r w:rsidR="00B07FB9" w:rsidRPr="005D4DF9">
        <w:rPr>
          <w:rFonts w:ascii="Book Antiqua" w:hAnsi="Book Antiqua"/>
          <w:sz w:val="20"/>
          <w:szCs w:val="20"/>
        </w:rPr>
        <w:t xml:space="preserve">cannot take decisions discriminatorily, in a non-transparent way or lacking due process. Procedural minimum requirements have to be part of the FDI mechanism in every Member State. </w:t>
      </w:r>
    </w:p>
    <w:p w14:paraId="040810C0" w14:textId="77777777" w:rsidR="00BB1900" w:rsidRPr="005D4DF9" w:rsidRDefault="00BB1900" w:rsidP="00BB1900">
      <w:pPr>
        <w:pStyle w:val="ListParagraph"/>
        <w:spacing w:before="240" w:after="240" w:line="276" w:lineRule="auto"/>
        <w:ind w:left="1080"/>
        <w:jc w:val="both"/>
        <w:rPr>
          <w:rFonts w:ascii="Book Antiqua" w:hAnsi="Book Antiqua"/>
          <w:sz w:val="20"/>
          <w:szCs w:val="20"/>
        </w:rPr>
      </w:pPr>
    </w:p>
    <w:p w14:paraId="7C4CFF6F" w14:textId="166D6099" w:rsidR="00BB1900" w:rsidRPr="005D4DF9" w:rsidRDefault="00BB1900" w:rsidP="00BB1900">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The FDI Screening Regulation does not define or limit the industry sectors that can be subject to screening.  Potentially </w:t>
      </w:r>
      <w:r w:rsidRPr="005D4DF9">
        <w:rPr>
          <w:rFonts w:ascii="Book Antiqua" w:hAnsi="Book Antiqua"/>
          <w:b/>
          <w:bCs/>
          <w:sz w:val="20"/>
          <w:szCs w:val="20"/>
        </w:rPr>
        <w:t xml:space="preserve">any </w:t>
      </w:r>
      <w:r w:rsidRPr="005D4DF9">
        <w:rPr>
          <w:rFonts w:ascii="Book Antiqua" w:hAnsi="Book Antiqua"/>
          <w:sz w:val="20"/>
          <w:szCs w:val="20"/>
        </w:rPr>
        <w:t xml:space="preserve">sector can be.  However, if </w:t>
      </w:r>
      <w:r w:rsidR="00C00BF7" w:rsidRPr="005D4DF9">
        <w:rPr>
          <w:rFonts w:ascii="Book Antiqua" w:hAnsi="Book Antiqua"/>
          <w:sz w:val="20"/>
          <w:szCs w:val="20"/>
        </w:rPr>
        <w:t>a</w:t>
      </w:r>
      <w:r w:rsidRPr="005D4DF9">
        <w:rPr>
          <w:rFonts w:ascii="Book Antiqua" w:hAnsi="Book Antiqua"/>
          <w:sz w:val="20"/>
          <w:szCs w:val="20"/>
        </w:rPr>
        <w:t xml:space="preserve"> Member State</w:t>
      </w:r>
      <w:r w:rsidR="00C00BF7" w:rsidRPr="005D4DF9">
        <w:rPr>
          <w:rFonts w:ascii="Book Antiqua" w:hAnsi="Book Antiqua"/>
          <w:sz w:val="20"/>
          <w:szCs w:val="20"/>
        </w:rPr>
        <w:t>’s</w:t>
      </w:r>
      <w:r w:rsidRPr="005D4DF9">
        <w:rPr>
          <w:rFonts w:ascii="Book Antiqua" w:hAnsi="Book Antiqua"/>
          <w:sz w:val="20"/>
          <w:szCs w:val="20"/>
        </w:rPr>
        <w:t xml:space="preserve"> national regime requires prior authorisation, in order to guarantee legal certainty, </w:t>
      </w:r>
      <w:r w:rsidR="00853B27" w:rsidRPr="005D4DF9">
        <w:rPr>
          <w:rFonts w:ascii="Book Antiqua" w:hAnsi="Book Antiqua"/>
          <w:sz w:val="20"/>
          <w:szCs w:val="20"/>
        </w:rPr>
        <w:t xml:space="preserve">the Commission expects </w:t>
      </w:r>
      <w:r w:rsidR="00C00BF7" w:rsidRPr="005D4DF9">
        <w:rPr>
          <w:rFonts w:ascii="Book Antiqua" w:hAnsi="Book Antiqua"/>
          <w:sz w:val="20"/>
          <w:szCs w:val="20"/>
        </w:rPr>
        <w:t xml:space="preserve">the </w:t>
      </w:r>
      <w:r w:rsidR="00853B27" w:rsidRPr="005D4DF9">
        <w:rPr>
          <w:rFonts w:ascii="Book Antiqua" w:hAnsi="Book Antiqua"/>
          <w:sz w:val="20"/>
          <w:szCs w:val="20"/>
        </w:rPr>
        <w:t xml:space="preserve">Members State </w:t>
      </w:r>
      <w:r w:rsidRPr="005D4DF9">
        <w:rPr>
          <w:rFonts w:ascii="Book Antiqua" w:hAnsi="Book Antiqua"/>
          <w:sz w:val="20"/>
          <w:szCs w:val="20"/>
        </w:rPr>
        <w:t xml:space="preserve">to define the sectors subject to </w:t>
      </w:r>
      <w:r w:rsidR="00C00BF7" w:rsidRPr="005D4DF9">
        <w:rPr>
          <w:rFonts w:ascii="Book Antiqua" w:hAnsi="Book Antiqua"/>
          <w:sz w:val="20"/>
          <w:szCs w:val="20"/>
        </w:rPr>
        <w:t xml:space="preserve">the </w:t>
      </w:r>
      <w:r w:rsidRPr="005D4DF9">
        <w:rPr>
          <w:rFonts w:ascii="Book Antiqua" w:hAnsi="Book Antiqua"/>
          <w:sz w:val="20"/>
          <w:szCs w:val="20"/>
        </w:rPr>
        <w:t>regime</w:t>
      </w:r>
      <w:r w:rsidR="00853B27" w:rsidRPr="005D4DF9">
        <w:rPr>
          <w:rFonts w:ascii="Book Antiqua" w:hAnsi="Book Antiqua"/>
          <w:sz w:val="20"/>
          <w:szCs w:val="20"/>
        </w:rPr>
        <w:t xml:space="preserve"> in national law</w:t>
      </w:r>
      <w:r w:rsidRPr="005D4DF9">
        <w:rPr>
          <w:rFonts w:ascii="Book Antiqua" w:hAnsi="Book Antiqua"/>
          <w:sz w:val="20"/>
          <w:szCs w:val="20"/>
        </w:rPr>
        <w:t>.</w:t>
      </w:r>
    </w:p>
    <w:p w14:paraId="03CC8188" w14:textId="77777777" w:rsidR="00853B27" w:rsidRPr="005D4DF9" w:rsidRDefault="00853B27" w:rsidP="00853B27">
      <w:pPr>
        <w:pStyle w:val="ListParagraph"/>
        <w:spacing w:before="240" w:after="240" w:line="276" w:lineRule="auto"/>
        <w:ind w:left="360"/>
        <w:jc w:val="both"/>
        <w:rPr>
          <w:rFonts w:ascii="Book Antiqua" w:hAnsi="Book Antiqua"/>
          <w:sz w:val="20"/>
          <w:szCs w:val="20"/>
        </w:rPr>
      </w:pPr>
    </w:p>
    <w:p w14:paraId="65C0D22C" w14:textId="686C8419" w:rsidR="007C2096" w:rsidRPr="005D4DF9" w:rsidRDefault="00853B27" w:rsidP="00B07FB9">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lastRenderedPageBreak/>
        <w:t>The Commission’s communication regarding the COVID-19 crisis, and the Guidelines, were a political push to encourage Member States to put national FDI screening regimes in place.  To that end, further guidance on the matter is not excluded in the future.</w:t>
      </w:r>
    </w:p>
    <w:p w14:paraId="0303AB23" w14:textId="77777777" w:rsidR="00853B27" w:rsidRPr="005D4DF9" w:rsidRDefault="00853B27" w:rsidP="00853B27">
      <w:pPr>
        <w:pStyle w:val="ListParagraph"/>
        <w:rPr>
          <w:rFonts w:ascii="Book Antiqua" w:hAnsi="Book Antiqua"/>
          <w:sz w:val="20"/>
          <w:szCs w:val="20"/>
        </w:rPr>
      </w:pPr>
    </w:p>
    <w:p w14:paraId="2614B22A" w14:textId="3070B4A8" w:rsidR="00853B27" w:rsidRPr="005D4DF9" w:rsidRDefault="00853B27" w:rsidP="003F1FAC">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sz w:val="20"/>
          <w:szCs w:val="20"/>
        </w:rPr>
        <w:t>Additionally, the Commission is actively trying to address its “blind spots”, as it sometimes does not have a full picture of the state of FDI in some Member States.  That is because often official statistics are late</w:t>
      </w:r>
      <w:r w:rsidR="003F1FAC" w:rsidRPr="005D4DF9">
        <w:rPr>
          <w:rFonts w:ascii="Book Antiqua" w:hAnsi="Book Antiqua"/>
          <w:sz w:val="20"/>
          <w:szCs w:val="20"/>
        </w:rPr>
        <w:t xml:space="preserve"> and inconsistent, whereas the Commission is trying to establish a flow of up to date aggregate information.</w:t>
      </w:r>
    </w:p>
    <w:p w14:paraId="0F58E697" w14:textId="77777777" w:rsidR="003F1FAC" w:rsidRPr="005D4DF9" w:rsidRDefault="003F1FAC" w:rsidP="003F1FAC">
      <w:pPr>
        <w:pStyle w:val="ListParagraph"/>
        <w:rPr>
          <w:rFonts w:ascii="Book Antiqua" w:hAnsi="Book Antiqua"/>
          <w:sz w:val="20"/>
          <w:szCs w:val="20"/>
        </w:rPr>
      </w:pPr>
    </w:p>
    <w:p w14:paraId="3293FC07" w14:textId="77777777" w:rsidR="00E01C55" w:rsidRPr="005D4DF9" w:rsidRDefault="00E01C55" w:rsidP="00E01C55">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The Commission is in constant contact with the US Department of the Treasury on these matters in a well-established open conversation and dialogue</w:t>
      </w:r>
      <w:r w:rsidRPr="005D4DF9">
        <w:rPr>
          <w:rFonts w:ascii="Book Antiqua" w:hAnsi="Book Antiqua"/>
          <w:sz w:val="20"/>
          <w:szCs w:val="20"/>
        </w:rPr>
        <w:t xml:space="preserve">.  Equally, a somewhat similar dialogue is open with other G7 nations.  However, </w:t>
      </w:r>
      <w:r w:rsidRPr="005D4DF9">
        <w:rPr>
          <w:rFonts w:ascii="Book Antiqua" w:hAnsi="Book Antiqua"/>
          <w:b/>
          <w:bCs/>
          <w:sz w:val="20"/>
          <w:szCs w:val="20"/>
        </w:rPr>
        <w:t>there is no cooperation on the FDI front with other countries such as the People’s Republic of China or Latin American countries</w:t>
      </w:r>
      <w:r w:rsidRPr="005D4DF9">
        <w:rPr>
          <w:rFonts w:ascii="Book Antiqua" w:hAnsi="Book Antiqua"/>
          <w:sz w:val="20"/>
          <w:szCs w:val="20"/>
        </w:rPr>
        <w:t>.</w:t>
      </w:r>
    </w:p>
    <w:p w14:paraId="07A395B9" w14:textId="77777777" w:rsidR="003F1FAC" w:rsidRPr="005D4DF9" w:rsidRDefault="003F1FAC" w:rsidP="003F1FAC">
      <w:pPr>
        <w:pStyle w:val="ListParagraph"/>
        <w:rPr>
          <w:rFonts w:ascii="Book Antiqua" w:hAnsi="Book Antiqua"/>
          <w:sz w:val="20"/>
          <w:szCs w:val="20"/>
        </w:rPr>
      </w:pPr>
    </w:p>
    <w:p w14:paraId="0CD0CE99" w14:textId="77777777" w:rsidR="00E01C55" w:rsidRPr="005D4DF9" w:rsidRDefault="00E01C55" w:rsidP="00E01C55">
      <w:pPr>
        <w:pStyle w:val="ListParagraph"/>
        <w:numPr>
          <w:ilvl w:val="0"/>
          <w:numId w:val="3"/>
        </w:numPr>
        <w:spacing w:before="240" w:after="240" w:line="276" w:lineRule="auto"/>
        <w:jc w:val="both"/>
        <w:rPr>
          <w:rFonts w:ascii="Book Antiqua" w:hAnsi="Book Antiqua"/>
          <w:sz w:val="20"/>
          <w:szCs w:val="20"/>
        </w:rPr>
      </w:pPr>
      <w:r w:rsidRPr="005D4DF9">
        <w:rPr>
          <w:rFonts w:ascii="Book Antiqua" w:hAnsi="Book Antiqua"/>
          <w:b/>
          <w:bCs/>
          <w:sz w:val="20"/>
          <w:szCs w:val="20"/>
        </w:rPr>
        <w:t>The UK does not take part in the EU FDI framework because the UK has left the EU on 31 January 2020</w:t>
      </w:r>
      <w:r w:rsidRPr="005D4DF9">
        <w:rPr>
          <w:rFonts w:ascii="Book Antiqua" w:hAnsi="Book Antiqua"/>
          <w:sz w:val="20"/>
          <w:szCs w:val="20"/>
        </w:rPr>
        <w:t xml:space="preserve">, and the FDI Screening Regulation will not apply until October 2020.  The Transitional Period does not bridge this gap because it only preserves the </w:t>
      </w:r>
      <w:r w:rsidRPr="005D4DF9">
        <w:rPr>
          <w:rFonts w:ascii="Book Antiqua" w:hAnsi="Book Antiqua"/>
          <w:i/>
          <w:iCs/>
          <w:sz w:val="20"/>
          <w:szCs w:val="20"/>
        </w:rPr>
        <w:t>Acquis Communautaire</w:t>
      </w:r>
      <w:r w:rsidRPr="005D4DF9">
        <w:rPr>
          <w:rFonts w:ascii="Book Antiqua" w:hAnsi="Book Antiqua"/>
          <w:sz w:val="20"/>
          <w:szCs w:val="20"/>
        </w:rPr>
        <w:t xml:space="preserve"> up to the UK’s withdrawal from the EU.  Therefore it does not extend to EU law coming into force after 31 January 2020.</w:t>
      </w:r>
    </w:p>
    <w:p w14:paraId="41926B98" w14:textId="77777777" w:rsidR="00E01C55" w:rsidRPr="005D4DF9" w:rsidRDefault="00E01C55" w:rsidP="00E01C55">
      <w:pPr>
        <w:pStyle w:val="ListParagraph"/>
        <w:rPr>
          <w:rFonts w:ascii="Book Antiqua" w:hAnsi="Book Antiqua"/>
          <w:sz w:val="20"/>
          <w:szCs w:val="20"/>
        </w:rPr>
      </w:pPr>
    </w:p>
    <w:p w14:paraId="296D756E" w14:textId="0127A945" w:rsidR="003F1FAC" w:rsidRPr="005D4DF9" w:rsidRDefault="00E01C55" w:rsidP="00E01C55">
      <w:pPr>
        <w:pStyle w:val="ListParagraph"/>
        <w:numPr>
          <w:ilvl w:val="1"/>
          <w:numId w:val="3"/>
        </w:numPr>
        <w:spacing w:before="240" w:after="240" w:line="276" w:lineRule="auto"/>
        <w:jc w:val="both"/>
        <w:rPr>
          <w:rFonts w:ascii="Book Antiqua" w:hAnsi="Book Antiqua"/>
          <w:sz w:val="20"/>
          <w:szCs w:val="20"/>
        </w:rPr>
      </w:pPr>
      <w:r w:rsidRPr="005D4DF9">
        <w:rPr>
          <w:rFonts w:ascii="Book Antiqua" w:hAnsi="Book Antiqua"/>
          <w:sz w:val="20"/>
          <w:szCs w:val="20"/>
        </w:rPr>
        <w:t xml:space="preserve">However, </w:t>
      </w:r>
      <w:r w:rsidRPr="005D4DF9">
        <w:rPr>
          <w:rFonts w:ascii="Book Antiqua" w:hAnsi="Book Antiqua"/>
          <w:b/>
          <w:bCs/>
          <w:sz w:val="20"/>
          <w:szCs w:val="20"/>
        </w:rPr>
        <w:t xml:space="preserve">as a rule [pending confirmation] British investment would be considered </w:t>
      </w:r>
      <w:r w:rsidRPr="005D4DF9">
        <w:rPr>
          <w:rFonts w:ascii="Book Antiqua" w:hAnsi="Book Antiqua"/>
          <w:b/>
          <w:bCs/>
          <w:i/>
          <w:iCs/>
          <w:sz w:val="20"/>
          <w:szCs w:val="20"/>
        </w:rPr>
        <w:t>EU</w:t>
      </w:r>
      <w:r w:rsidRPr="005D4DF9">
        <w:rPr>
          <w:rFonts w:ascii="Book Antiqua" w:hAnsi="Book Antiqua"/>
          <w:b/>
          <w:bCs/>
          <w:sz w:val="20"/>
          <w:szCs w:val="20"/>
        </w:rPr>
        <w:t xml:space="preserve"> investment under the FDI Screening Regulation during the Transitional Period</w:t>
      </w:r>
      <w:r w:rsidRPr="005D4DF9">
        <w:rPr>
          <w:rFonts w:ascii="Book Antiqua" w:hAnsi="Book Antiqua"/>
          <w:sz w:val="20"/>
          <w:szCs w:val="20"/>
        </w:rPr>
        <w:t xml:space="preserve"> (which could be extended past 31 December 2020).</w:t>
      </w:r>
    </w:p>
    <w:sectPr w:rsidR="003F1FAC" w:rsidRPr="005D4DF9" w:rsidSect="005870D8">
      <w:headerReference w:type="default" r:id="rId16"/>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16389" w14:textId="77777777" w:rsidR="00420EB6" w:rsidRDefault="00420EB6" w:rsidP="00973FBF">
      <w:r>
        <w:separator/>
      </w:r>
    </w:p>
  </w:endnote>
  <w:endnote w:type="continuationSeparator" w:id="0">
    <w:p w14:paraId="0A872730" w14:textId="77777777" w:rsidR="00420EB6" w:rsidRDefault="00420EB6" w:rsidP="0097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2771049"/>
      <w:docPartObj>
        <w:docPartGallery w:val="Page Numbers (Bottom of Page)"/>
        <w:docPartUnique/>
      </w:docPartObj>
    </w:sdtPr>
    <w:sdtEndPr>
      <w:rPr>
        <w:rStyle w:val="PageNumber"/>
      </w:rPr>
    </w:sdtEndPr>
    <w:sdtContent>
      <w:p w14:paraId="7AA14205" w14:textId="77777777" w:rsidR="002948F8" w:rsidRDefault="002948F8" w:rsidP="00E13C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6EBD05" w14:textId="77777777" w:rsidR="002948F8" w:rsidRDefault="002948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Book Antiqua" w:hAnsi="Book Antiqua"/>
        <w:sz w:val="21"/>
        <w:szCs w:val="21"/>
      </w:rPr>
      <w:id w:val="-1181196629"/>
      <w:docPartObj>
        <w:docPartGallery w:val="Page Numbers (Bottom of Page)"/>
        <w:docPartUnique/>
      </w:docPartObj>
    </w:sdtPr>
    <w:sdtEndPr>
      <w:rPr>
        <w:rStyle w:val="PageNumber"/>
      </w:rPr>
    </w:sdtEndPr>
    <w:sdtContent>
      <w:p w14:paraId="18D8B74D" w14:textId="04293B98" w:rsidR="002948F8" w:rsidRPr="002948F8" w:rsidRDefault="002948F8" w:rsidP="00E13CA8">
        <w:pPr>
          <w:pStyle w:val="Footer"/>
          <w:framePr w:wrap="none" w:vAnchor="text" w:hAnchor="margin" w:xAlign="center" w:y="1"/>
          <w:rPr>
            <w:rStyle w:val="PageNumber"/>
            <w:rFonts w:ascii="Book Antiqua" w:hAnsi="Book Antiqua"/>
            <w:sz w:val="21"/>
            <w:szCs w:val="21"/>
          </w:rPr>
        </w:pPr>
        <w:r w:rsidRPr="002948F8">
          <w:rPr>
            <w:rStyle w:val="PageNumber"/>
            <w:rFonts w:ascii="Book Antiqua" w:hAnsi="Book Antiqua"/>
            <w:sz w:val="21"/>
            <w:szCs w:val="21"/>
          </w:rPr>
          <w:fldChar w:fldCharType="begin"/>
        </w:r>
        <w:r w:rsidRPr="002948F8">
          <w:rPr>
            <w:rStyle w:val="PageNumber"/>
            <w:rFonts w:ascii="Book Antiqua" w:hAnsi="Book Antiqua"/>
            <w:sz w:val="21"/>
            <w:szCs w:val="21"/>
          </w:rPr>
          <w:instrText xml:space="preserve"> PAGE </w:instrText>
        </w:r>
        <w:r w:rsidRPr="002948F8">
          <w:rPr>
            <w:rStyle w:val="PageNumber"/>
            <w:rFonts w:ascii="Book Antiqua" w:hAnsi="Book Antiqua"/>
            <w:sz w:val="21"/>
            <w:szCs w:val="21"/>
          </w:rPr>
          <w:fldChar w:fldCharType="separate"/>
        </w:r>
        <w:r w:rsidR="00C25248">
          <w:rPr>
            <w:rStyle w:val="PageNumber"/>
            <w:rFonts w:ascii="Book Antiqua" w:hAnsi="Book Antiqua"/>
            <w:noProof/>
            <w:sz w:val="21"/>
            <w:szCs w:val="21"/>
          </w:rPr>
          <w:t>4</w:t>
        </w:r>
        <w:r w:rsidRPr="002948F8">
          <w:rPr>
            <w:rStyle w:val="PageNumber"/>
            <w:rFonts w:ascii="Book Antiqua" w:hAnsi="Book Antiqua"/>
            <w:sz w:val="21"/>
            <w:szCs w:val="21"/>
          </w:rPr>
          <w:fldChar w:fldCharType="end"/>
        </w:r>
      </w:p>
    </w:sdtContent>
  </w:sdt>
  <w:tbl>
    <w:tblPr>
      <w:tblW w:w="0" w:type="auto"/>
      <w:tblLayout w:type="fixed"/>
      <w:tblLook w:val="04A0" w:firstRow="1" w:lastRow="0" w:firstColumn="1" w:lastColumn="0" w:noHBand="0" w:noVBand="1"/>
    </w:tblPr>
    <w:tblGrid>
      <w:gridCol w:w="3007"/>
      <w:gridCol w:w="3007"/>
      <w:gridCol w:w="3007"/>
    </w:tblGrid>
    <w:tr w:rsidR="613F09C8" w:rsidRPr="002948F8" w14:paraId="11048BD2" w14:textId="77777777" w:rsidTr="613F09C8">
      <w:tc>
        <w:tcPr>
          <w:tcW w:w="3007" w:type="dxa"/>
        </w:tcPr>
        <w:p w14:paraId="4CFCB7B3" w14:textId="77777777" w:rsidR="613F09C8" w:rsidRPr="002948F8" w:rsidRDefault="613F09C8" w:rsidP="613F09C8">
          <w:pPr>
            <w:pStyle w:val="Header"/>
            <w:ind w:left="-115"/>
            <w:rPr>
              <w:rFonts w:ascii="Book Antiqua" w:hAnsi="Book Antiqua"/>
              <w:sz w:val="21"/>
              <w:szCs w:val="21"/>
            </w:rPr>
          </w:pPr>
        </w:p>
      </w:tc>
      <w:tc>
        <w:tcPr>
          <w:tcW w:w="3007" w:type="dxa"/>
        </w:tcPr>
        <w:p w14:paraId="162026BF" w14:textId="77777777" w:rsidR="613F09C8" w:rsidRPr="002948F8" w:rsidRDefault="613F09C8" w:rsidP="613F09C8">
          <w:pPr>
            <w:pStyle w:val="Header"/>
            <w:jc w:val="center"/>
            <w:rPr>
              <w:rFonts w:ascii="Book Antiqua" w:hAnsi="Book Antiqua"/>
              <w:sz w:val="21"/>
              <w:szCs w:val="21"/>
            </w:rPr>
          </w:pPr>
        </w:p>
      </w:tc>
      <w:tc>
        <w:tcPr>
          <w:tcW w:w="3007" w:type="dxa"/>
        </w:tcPr>
        <w:p w14:paraId="6A7B2342" w14:textId="77777777" w:rsidR="613F09C8" w:rsidRPr="002948F8" w:rsidRDefault="613F09C8" w:rsidP="613F09C8">
          <w:pPr>
            <w:pStyle w:val="Header"/>
            <w:ind w:right="-115"/>
            <w:jc w:val="right"/>
            <w:rPr>
              <w:rFonts w:ascii="Book Antiqua" w:hAnsi="Book Antiqua"/>
              <w:sz w:val="21"/>
              <w:szCs w:val="21"/>
            </w:rPr>
          </w:pPr>
        </w:p>
      </w:tc>
    </w:tr>
  </w:tbl>
  <w:p w14:paraId="7674BFE4" w14:textId="77777777" w:rsidR="613F09C8" w:rsidRDefault="613F09C8" w:rsidP="613F0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39210" w14:textId="77777777" w:rsidR="00420EB6" w:rsidRDefault="00420EB6" w:rsidP="00973FBF">
      <w:r>
        <w:separator/>
      </w:r>
    </w:p>
  </w:footnote>
  <w:footnote w:type="continuationSeparator" w:id="0">
    <w:p w14:paraId="0DFDAE7A" w14:textId="77777777" w:rsidR="00420EB6" w:rsidRDefault="00420EB6" w:rsidP="00973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BBEB7" w14:textId="77777777" w:rsidR="00973FBF" w:rsidRPr="0028389B" w:rsidRDefault="00973FBF" w:rsidP="00973FBF">
    <w:pPr>
      <w:pStyle w:val="Header"/>
      <w:rPr>
        <w:rFonts w:ascii="Book Antiqua" w:hAnsi="Book Antiqua"/>
        <w:i/>
        <w:color w:val="000000" w:themeColor="text1"/>
        <w:sz w:val="22"/>
        <w:szCs w:val="22"/>
      </w:rPr>
    </w:pPr>
    <w:r>
      <w:rPr>
        <w:noProof/>
        <w:sz w:val="20"/>
        <w:szCs w:val="20"/>
        <w:lang w:val="es-ES" w:eastAsia="es-ES"/>
      </w:rPr>
      <w:drawing>
        <wp:inline distT="0" distB="0" distL="0" distR="0" wp14:anchorId="5D7A0AAF" wp14:editId="2DF8B2A4">
          <wp:extent cx="1803400" cy="723900"/>
          <wp:effectExtent l="0" t="0" r="0" b="12700"/>
          <wp:docPr id="1" name="Picture 1" descr="Macintosh HD:Users:JTangEuclidLaw:Desktop:EUCLID:logo: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TangEuclidLaw:Desktop:EUCLID:logo: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723900"/>
                  </a:xfrm>
                  <a:prstGeom prst="rect">
                    <a:avLst/>
                  </a:prstGeom>
                  <a:noFill/>
                  <a:ln>
                    <a:noFill/>
                  </a:ln>
                </pic:spPr>
              </pic:pic>
            </a:graphicData>
          </a:graphic>
        </wp:inline>
      </w:drawing>
    </w:r>
  </w:p>
  <w:p w14:paraId="7C2B2D2F" w14:textId="14495181" w:rsidR="00973FBF" w:rsidRPr="0028389B" w:rsidRDefault="00973FBF" w:rsidP="00B07FB9">
    <w:pPr>
      <w:pStyle w:val="Header"/>
      <w:rPr>
        <w:rFonts w:ascii="Book Antiqua" w:hAnsi="Book Antiqua"/>
        <w:i/>
        <w:color w:val="000000" w:themeColor="text1"/>
        <w:sz w:val="20"/>
        <w:szCs w:val="20"/>
      </w:rPr>
    </w:pPr>
    <w:r w:rsidRPr="0028389B">
      <w:rPr>
        <w:rFonts w:ascii="Book Antiqua" w:hAnsi="Book Antiqua"/>
        <w:i/>
        <w:color w:val="000000" w:themeColor="text1"/>
        <w:sz w:val="22"/>
        <w:szCs w:val="22"/>
      </w:rPr>
      <w:tab/>
    </w:r>
    <w:r w:rsidRPr="0028389B">
      <w:rPr>
        <w:rFonts w:ascii="Book Antiqua" w:hAnsi="Book Antiqua"/>
        <w:i/>
        <w:color w:val="000000" w:themeColor="text1"/>
        <w:sz w:val="22"/>
        <w:szCs w:val="22"/>
      </w:rPr>
      <w:tab/>
    </w:r>
    <w:r w:rsidR="00B07FB9">
      <w:rPr>
        <w:rFonts w:ascii="Book Antiqua" w:hAnsi="Book Antiqua"/>
        <w:i/>
        <w:color w:val="000000" w:themeColor="text1"/>
        <w:sz w:val="20"/>
        <w:szCs w:val="20"/>
      </w:rPr>
      <w:t>Wednesday 1</w:t>
    </w:r>
    <w:r w:rsidR="00B07FB9" w:rsidRPr="00B07FB9">
      <w:rPr>
        <w:rFonts w:ascii="Book Antiqua" w:hAnsi="Book Antiqua"/>
        <w:i/>
        <w:color w:val="000000" w:themeColor="text1"/>
        <w:sz w:val="20"/>
        <w:szCs w:val="20"/>
        <w:vertAlign w:val="superscript"/>
      </w:rPr>
      <w:t>st</w:t>
    </w:r>
    <w:r w:rsidR="00B07FB9">
      <w:rPr>
        <w:rFonts w:ascii="Book Antiqua" w:hAnsi="Book Antiqua"/>
        <w:i/>
        <w:color w:val="000000" w:themeColor="text1"/>
        <w:sz w:val="20"/>
        <w:szCs w:val="20"/>
      </w:rPr>
      <w:t xml:space="preserve"> April</w:t>
    </w:r>
    <w:r w:rsidR="00B07FB9">
      <w:rPr>
        <w:rFonts w:ascii="Book Antiqua" w:hAnsi="Book Antiqua"/>
        <w:i/>
        <w:color w:val="000000" w:themeColor="text1"/>
        <w:sz w:val="20"/>
        <w:szCs w:val="20"/>
        <w:vertAlign w:val="superscript"/>
      </w:rPr>
      <w:t xml:space="preserve"> </w:t>
    </w:r>
    <w:r w:rsidR="00B07FB9">
      <w:rPr>
        <w:rFonts w:ascii="Book Antiqua" w:hAnsi="Book Antiqua"/>
        <w:i/>
        <w:color w:val="000000" w:themeColor="text1"/>
        <w:sz w:val="20"/>
        <w:szCs w:val="20"/>
      </w:rPr>
      <w:t>2020</w:t>
    </w:r>
  </w:p>
  <w:p w14:paraId="1F716806" w14:textId="77777777" w:rsidR="00973FBF" w:rsidRDefault="0097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3035D5"/>
    <w:multiLevelType w:val="hybridMultilevel"/>
    <w:tmpl w:val="E626EB9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4A9F0B28"/>
    <w:multiLevelType w:val="hybridMultilevel"/>
    <w:tmpl w:val="9C7A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F73A5"/>
    <w:multiLevelType w:val="hybridMultilevel"/>
    <w:tmpl w:val="6C1255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776D555D"/>
    <w:multiLevelType w:val="hybridMultilevel"/>
    <w:tmpl w:val="1586342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6D"/>
    <w:rsid w:val="0000006D"/>
    <w:rsid w:val="0005011B"/>
    <w:rsid w:val="00052F29"/>
    <w:rsid w:val="00086843"/>
    <w:rsid w:val="000A203F"/>
    <w:rsid w:val="000A7837"/>
    <w:rsid w:val="000A7FC4"/>
    <w:rsid w:val="000B46DE"/>
    <w:rsid w:val="000B4D0A"/>
    <w:rsid w:val="000D135C"/>
    <w:rsid w:val="000F08B2"/>
    <w:rsid w:val="000F27A5"/>
    <w:rsid w:val="00102EE0"/>
    <w:rsid w:val="00104C41"/>
    <w:rsid w:val="00111977"/>
    <w:rsid w:val="00155141"/>
    <w:rsid w:val="00196AE5"/>
    <w:rsid w:val="001A0FA6"/>
    <w:rsid w:val="001B412B"/>
    <w:rsid w:val="001C348F"/>
    <w:rsid w:val="001E3B89"/>
    <w:rsid w:val="001F43EF"/>
    <w:rsid w:val="002019B7"/>
    <w:rsid w:val="002175F7"/>
    <w:rsid w:val="002200D0"/>
    <w:rsid w:val="00221C4A"/>
    <w:rsid w:val="0022309F"/>
    <w:rsid w:val="00236FCB"/>
    <w:rsid w:val="00275D08"/>
    <w:rsid w:val="002948F8"/>
    <w:rsid w:val="002B6976"/>
    <w:rsid w:val="002D7E8D"/>
    <w:rsid w:val="002E0E31"/>
    <w:rsid w:val="002F301F"/>
    <w:rsid w:val="002F6A94"/>
    <w:rsid w:val="002F76F0"/>
    <w:rsid w:val="00320B2F"/>
    <w:rsid w:val="00321549"/>
    <w:rsid w:val="003657DE"/>
    <w:rsid w:val="00372660"/>
    <w:rsid w:val="0038081C"/>
    <w:rsid w:val="0038364A"/>
    <w:rsid w:val="003A1186"/>
    <w:rsid w:val="003A3163"/>
    <w:rsid w:val="003A3E0A"/>
    <w:rsid w:val="003A4AD5"/>
    <w:rsid w:val="003D08B8"/>
    <w:rsid w:val="003D08BA"/>
    <w:rsid w:val="003E4772"/>
    <w:rsid w:val="003F1FAC"/>
    <w:rsid w:val="003F757C"/>
    <w:rsid w:val="00400BA7"/>
    <w:rsid w:val="00403F3A"/>
    <w:rsid w:val="004113E8"/>
    <w:rsid w:val="004144BE"/>
    <w:rsid w:val="00420EB6"/>
    <w:rsid w:val="00442E3A"/>
    <w:rsid w:val="00446A06"/>
    <w:rsid w:val="0045152B"/>
    <w:rsid w:val="00452E7B"/>
    <w:rsid w:val="00464B2D"/>
    <w:rsid w:val="004813A7"/>
    <w:rsid w:val="00491CE8"/>
    <w:rsid w:val="00497FAB"/>
    <w:rsid w:val="004A097B"/>
    <w:rsid w:val="004A0D61"/>
    <w:rsid w:val="004B580D"/>
    <w:rsid w:val="004C57CD"/>
    <w:rsid w:val="004D11BF"/>
    <w:rsid w:val="004D5201"/>
    <w:rsid w:val="004E268C"/>
    <w:rsid w:val="004F1566"/>
    <w:rsid w:val="004F2B29"/>
    <w:rsid w:val="00504648"/>
    <w:rsid w:val="005138C9"/>
    <w:rsid w:val="00515924"/>
    <w:rsid w:val="00522DFD"/>
    <w:rsid w:val="00530D08"/>
    <w:rsid w:val="00540745"/>
    <w:rsid w:val="005412A8"/>
    <w:rsid w:val="00545DE1"/>
    <w:rsid w:val="00553F38"/>
    <w:rsid w:val="0057104B"/>
    <w:rsid w:val="005870D8"/>
    <w:rsid w:val="005B76CA"/>
    <w:rsid w:val="005D4DF9"/>
    <w:rsid w:val="005D6324"/>
    <w:rsid w:val="005F4D98"/>
    <w:rsid w:val="00625554"/>
    <w:rsid w:val="00626867"/>
    <w:rsid w:val="00654C0B"/>
    <w:rsid w:val="00692311"/>
    <w:rsid w:val="006972E2"/>
    <w:rsid w:val="006B4529"/>
    <w:rsid w:val="006D0BD1"/>
    <w:rsid w:val="006D0FE8"/>
    <w:rsid w:val="00727A14"/>
    <w:rsid w:val="007A3CAD"/>
    <w:rsid w:val="007B056E"/>
    <w:rsid w:val="007C2096"/>
    <w:rsid w:val="007E0960"/>
    <w:rsid w:val="007E5A16"/>
    <w:rsid w:val="007E5FFA"/>
    <w:rsid w:val="00801D56"/>
    <w:rsid w:val="00813BA1"/>
    <w:rsid w:val="00852093"/>
    <w:rsid w:val="00853B27"/>
    <w:rsid w:val="00861887"/>
    <w:rsid w:val="008962BE"/>
    <w:rsid w:val="008A656E"/>
    <w:rsid w:val="008B05D7"/>
    <w:rsid w:val="008B189F"/>
    <w:rsid w:val="008D334D"/>
    <w:rsid w:val="008D649E"/>
    <w:rsid w:val="00914824"/>
    <w:rsid w:val="00915AD3"/>
    <w:rsid w:val="00946A46"/>
    <w:rsid w:val="00973FBF"/>
    <w:rsid w:val="0097751B"/>
    <w:rsid w:val="009A3A75"/>
    <w:rsid w:val="009E6800"/>
    <w:rsid w:val="00A06D4E"/>
    <w:rsid w:val="00A203C5"/>
    <w:rsid w:val="00A262E3"/>
    <w:rsid w:val="00A37963"/>
    <w:rsid w:val="00A97858"/>
    <w:rsid w:val="00AA2104"/>
    <w:rsid w:val="00AA5CE9"/>
    <w:rsid w:val="00AB67F9"/>
    <w:rsid w:val="00AE5FA7"/>
    <w:rsid w:val="00B07FB9"/>
    <w:rsid w:val="00B31F74"/>
    <w:rsid w:val="00B47213"/>
    <w:rsid w:val="00B54680"/>
    <w:rsid w:val="00B63A48"/>
    <w:rsid w:val="00B64E2D"/>
    <w:rsid w:val="00B767EB"/>
    <w:rsid w:val="00B829AD"/>
    <w:rsid w:val="00B875CD"/>
    <w:rsid w:val="00BB1900"/>
    <w:rsid w:val="00BD078D"/>
    <w:rsid w:val="00BD32DB"/>
    <w:rsid w:val="00BE5BEC"/>
    <w:rsid w:val="00BF565E"/>
    <w:rsid w:val="00C00BF7"/>
    <w:rsid w:val="00C023B4"/>
    <w:rsid w:val="00C20763"/>
    <w:rsid w:val="00C25248"/>
    <w:rsid w:val="00C341F9"/>
    <w:rsid w:val="00C74FFF"/>
    <w:rsid w:val="00C93FEC"/>
    <w:rsid w:val="00CC1118"/>
    <w:rsid w:val="00CC5C1B"/>
    <w:rsid w:val="00CC73B7"/>
    <w:rsid w:val="00CD70A7"/>
    <w:rsid w:val="00CE35A2"/>
    <w:rsid w:val="00CF07AF"/>
    <w:rsid w:val="00D26587"/>
    <w:rsid w:val="00D63E8B"/>
    <w:rsid w:val="00D7351A"/>
    <w:rsid w:val="00D97FEA"/>
    <w:rsid w:val="00DA7DA1"/>
    <w:rsid w:val="00DC4C3A"/>
    <w:rsid w:val="00DE330F"/>
    <w:rsid w:val="00DE7B94"/>
    <w:rsid w:val="00E01C55"/>
    <w:rsid w:val="00E178BF"/>
    <w:rsid w:val="00E56710"/>
    <w:rsid w:val="00E617D1"/>
    <w:rsid w:val="00E70623"/>
    <w:rsid w:val="00E82D96"/>
    <w:rsid w:val="00EB1338"/>
    <w:rsid w:val="00ED39C5"/>
    <w:rsid w:val="00F23292"/>
    <w:rsid w:val="00F23F91"/>
    <w:rsid w:val="00F3457E"/>
    <w:rsid w:val="00F50367"/>
    <w:rsid w:val="00F732B1"/>
    <w:rsid w:val="00F81BF5"/>
    <w:rsid w:val="00F865D0"/>
    <w:rsid w:val="00FC4EDB"/>
    <w:rsid w:val="00FF3299"/>
    <w:rsid w:val="613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2F126"/>
  <w14:defaultImageDpi w14:val="330"/>
  <w15:chartTrackingRefBased/>
  <w15:docId w15:val="{7138EF0D-C5BE-0F4D-9A10-D11F55FC2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FB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FBF"/>
    <w:pPr>
      <w:tabs>
        <w:tab w:val="center" w:pos="4680"/>
        <w:tab w:val="right" w:pos="9360"/>
      </w:tabs>
    </w:pPr>
  </w:style>
  <w:style w:type="character" w:customStyle="1" w:styleId="HeaderChar">
    <w:name w:val="Header Char"/>
    <w:basedOn w:val="DefaultParagraphFont"/>
    <w:link w:val="Header"/>
    <w:uiPriority w:val="99"/>
    <w:rsid w:val="00973FBF"/>
  </w:style>
  <w:style w:type="paragraph" w:styleId="Footer">
    <w:name w:val="footer"/>
    <w:basedOn w:val="Normal"/>
    <w:link w:val="FooterChar"/>
    <w:uiPriority w:val="99"/>
    <w:unhideWhenUsed/>
    <w:rsid w:val="00973FBF"/>
    <w:pPr>
      <w:tabs>
        <w:tab w:val="center" w:pos="4680"/>
        <w:tab w:val="right" w:pos="9360"/>
      </w:tabs>
    </w:pPr>
  </w:style>
  <w:style w:type="character" w:customStyle="1" w:styleId="FooterChar">
    <w:name w:val="Footer Char"/>
    <w:basedOn w:val="DefaultParagraphFont"/>
    <w:link w:val="Footer"/>
    <w:uiPriority w:val="99"/>
    <w:rsid w:val="00973FB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02EE0"/>
    <w:pPr>
      <w:ind w:left="720"/>
      <w:contextualSpacing/>
    </w:pPr>
  </w:style>
  <w:style w:type="character" w:styleId="PageNumber">
    <w:name w:val="page number"/>
    <w:basedOn w:val="DefaultParagraphFont"/>
    <w:uiPriority w:val="99"/>
    <w:semiHidden/>
    <w:unhideWhenUsed/>
    <w:rsid w:val="002948F8"/>
  </w:style>
  <w:style w:type="character" w:styleId="Hyperlink">
    <w:name w:val="Hyperlink"/>
    <w:basedOn w:val="DefaultParagraphFont"/>
    <w:uiPriority w:val="99"/>
    <w:unhideWhenUsed/>
    <w:rsid w:val="00C20763"/>
    <w:rPr>
      <w:color w:val="0563C1" w:themeColor="hyperlink"/>
      <w:u w:val="single"/>
    </w:rPr>
  </w:style>
  <w:style w:type="character" w:customStyle="1" w:styleId="UnresolvedMention1">
    <w:name w:val="Unresolved Mention1"/>
    <w:basedOn w:val="DefaultParagraphFont"/>
    <w:uiPriority w:val="99"/>
    <w:rsid w:val="00C20763"/>
    <w:rPr>
      <w:color w:val="605E5C"/>
      <w:shd w:val="clear" w:color="auto" w:fill="E1DFDD"/>
    </w:rPr>
  </w:style>
  <w:style w:type="paragraph" w:styleId="FootnoteText">
    <w:name w:val="footnote text"/>
    <w:basedOn w:val="Normal"/>
    <w:link w:val="FootnoteTextChar"/>
    <w:uiPriority w:val="99"/>
    <w:semiHidden/>
    <w:unhideWhenUsed/>
    <w:rsid w:val="00CC1118"/>
    <w:rPr>
      <w:sz w:val="20"/>
      <w:szCs w:val="20"/>
    </w:rPr>
  </w:style>
  <w:style w:type="character" w:customStyle="1" w:styleId="FootnoteTextChar">
    <w:name w:val="Footnote Text Char"/>
    <w:basedOn w:val="DefaultParagraphFont"/>
    <w:link w:val="FootnoteText"/>
    <w:uiPriority w:val="99"/>
    <w:semiHidden/>
    <w:rsid w:val="00CC1118"/>
    <w:rPr>
      <w:sz w:val="20"/>
      <w:szCs w:val="20"/>
    </w:rPr>
  </w:style>
  <w:style w:type="character" w:styleId="FootnoteReference">
    <w:name w:val="footnote reference"/>
    <w:basedOn w:val="DefaultParagraphFont"/>
    <w:uiPriority w:val="99"/>
    <w:semiHidden/>
    <w:unhideWhenUsed/>
    <w:rsid w:val="00CC1118"/>
    <w:rPr>
      <w:vertAlign w:val="superscript"/>
    </w:rPr>
  </w:style>
  <w:style w:type="character" w:styleId="FollowedHyperlink">
    <w:name w:val="FollowedHyperlink"/>
    <w:basedOn w:val="DefaultParagraphFont"/>
    <w:uiPriority w:val="99"/>
    <w:semiHidden/>
    <w:unhideWhenUsed/>
    <w:rsid w:val="007B056E"/>
    <w:rPr>
      <w:color w:val="954F72" w:themeColor="followedHyperlink"/>
      <w:u w:val="single"/>
    </w:rPr>
  </w:style>
  <w:style w:type="paragraph" w:styleId="BalloonText">
    <w:name w:val="Balloon Text"/>
    <w:basedOn w:val="Normal"/>
    <w:link w:val="BalloonTextChar"/>
    <w:uiPriority w:val="99"/>
    <w:semiHidden/>
    <w:unhideWhenUsed/>
    <w:rsid w:val="00C25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248"/>
    <w:rPr>
      <w:rFonts w:ascii="Segoe UI" w:hAnsi="Segoe UI" w:cs="Segoe UI"/>
      <w:sz w:val="18"/>
      <w:szCs w:val="18"/>
    </w:rPr>
  </w:style>
  <w:style w:type="character" w:styleId="CommentReference">
    <w:name w:val="annotation reference"/>
    <w:basedOn w:val="DefaultParagraphFont"/>
    <w:uiPriority w:val="99"/>
    <w:semiHidden/>
    <w:unhideWhenUsed/>
    <w:rsid w:val="00C25248"/>
    <w:rPr>
      <w:sz w:val="16"/>
      <w:szCs w:val="16"/>
    </w:rPr>
  </w:style>
  <w:style w:type="paragraph" w:styleId="CommentText">
    <w:name w:val="annotation text"/>
    <w:basedOn w:val="Normal"/>
    <w:link w:val="CommentTextChar"/>
    <w:uiPriority w:val="99"/>
    <w:semiHidden/>
    <w:unhideWhenUsed/>
    <w:rsid w:val="00C25248"/>
    <w:rPr>
      <w:sz w:val="20"/>
      <w:szCs w:val="20"/>
    </w:rPr>
  </w:style>
  <w:style w:type="character" w:customStyle="1" w:styleId="CommentTextChar">
    <w:name w:val="Comment Text Char"/>
    <w:basedOn w:val="DefaultParagraphFont"/>
    <w:link w:val="CommentText"/>
    <w:uiPriority w:val="99"/>
    <w:semiHidden/>
    <w:rsid w:val="00C25248"/>
    <w:rPr>
      <w:sz w:val="20"/>
      <w:szCs w:val="20"/>
    </w:rPr>
  </w:style>
  <w:style w:type="paragraph" w:styleId="CommentSubject">
    <w:name w:val="annotation subject"/>
    <w:basedOn w:val="CommentText"/>
    <w:next w:val="CommentText"/>
    <w:link w:val="CommentSubjectChar"/>
    <w:uiPriority w:val="99"/>
    <w:semiHidden/>
    <w:unhideWhenUsed/>
    <w:rsid w:val="00C25248"/>
    <w:rPr>
      <w:b/>
      <w:bCs/>
    </w:rPr>
  </w:style>
  <w:style w:type="character" w:customStyle="1" w:styleId="CommentSubjectChar">
    <w:name w:val="Comment Subject Char"/>
    <w:basedOn w:val="CommentTextChar"/>
    <w:link w:val="CommentSubject"/>
    <w:uiPriority w:val="99"/>
    <w:semiHidden/>
    <w:rsid w:val="00C252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9257">
      <w:bodyDiv w:val="1"/>
      <w:marLeft w:val="0"/>
      <w:marRight w:val="0"/>
      <w:marTop w:val="0"/>
      <w:marBottom w:val="0"/>
      <w:divBdr>
        <w:top w:val="none" w:sz="0" w:space="0" w:color="auto"/>
        <w:left w:val="none" w:sz="0" w:space="0" w:color="auto"/>
        <w:bottom w:val="none" w:sz="0" w:space="0" w:color="auto"/>
        <w:right w:val="none" w:sz="0" w:space="0" w:color="auto"/>
      </w:divBdr>
    </w:div>
    <w:div w:id="135994259">
      <w:bodyDiv w:val="1"/>
      <w:marLeft w:val="0"/>
      <w:marRight w:val="0"/>
      <w:marTop w:val="0"/>
      <w:marBottom w:val="0"/>
      <w:divBdr>
        <w:top w:val="none" w:sz="0" w:space="0" w:color="auto"/>
        <w:left w:val="none" w:sz="0" w:space="0" w:color="auto"/>
        <w:bottom w:val="none" w:sz="0" w:space="0" w:color="auto"/>
        <w:right w:val="none" w:sz="0" w:space="0" w:color="auto"/>
      </w:divBdr>
    </w:div>
    <w:div w:id="430854256">
      <w:bodyDiv w:val="1"/>
      <w:marLeft w:val="0"/>
      <w:marRight w:val="0"/>
      <w:marTop w:val="0"/>
      <w:marBottom w:val="0"/>
      <w:divBdr>
        <w:top w:val="none" w:sz="0" w:space="0" w:color="auto"/>
        <w:left w:val="none" w:sz="0" w:space="0" w:color="auto"/>
        <w:bottom w:val="none" w:sz="0" w:space="0" w:color="auto"/>
        <w:right w:val="none" w:sz="0" w:space="0" w:color="auto"/>
      </w:divBdr>
    </w:div>
    <w:div w:id="549611753">
      <w:bodyDiv w:val="1"/>
      <w:marLeft w:val="0"/>
      <w:marRight w:val="0"/>
      <w:marTop w:val="0"/>
      <w:marBottom w:val="0"/>
      <w:divBdr>
        <w:top w:val="none" w:sz="0" w:space="0" w:color="auto"/>
        <w:left w:val="none" w:sz="0" w:space="0" w:color="auto"/>
        <w:bottom w:val="none" w:sz="0" w:space="0" w:color="auto"/>
        <w:right w:val="none" w:sz="0" w:space="0" w:color="auto"/>
      </w:divBdr>
    </w:div>
    <w:div w:id="877087107">
      <w:bodyDiv w:val="1"/>
      <w:marLeft w:val="0"/>
      <w:marRight w:val="0"/>
      <w:marTop w:val="0"/>
      <w:marBottom w:val="0"/>
      <w:divBdr>
        <w:top w:val="none" w:sz="0" w:space="0" w:color="auto"/>
        <w:left w:val="none" w:sz="0" w:space="0" w:color="auto"/>
        <w:bottom w:val="none" w:sz="0" w:space="0" w:color="auto"/>
        <w:right w:val="none" w:sz="0" w:space="0" w:color="auto"/>
      </w:divBdr>
    </w:div>
    <w:div w:id="924999483">
      <w:bodyDiv w:val="1"/>
      <w:marLeft w:val="0"/>
      <w:marRight w:val="0"/>
      <w:marTop w:val="0"/>
      <w:marBottom w:val="0"/>
      <w:divBdr>
        <w:top w:val="none" w:sz="0" w:space="0" w:color="auto"/>
        <w:left w:val="none" w:sz="0" w:space="0" w:color="auto"/>
        <w:bottom w:val="none" w:sz="0" w:space="0" w:color="auto"/>
        <w:right w:val="none" w:sz="0" w:space="0" w:color="auto"/>
      </w:divBdr>
    </w:div>
    <w:div w:id="986475098">
      <w:bodyDiv w:val="1"/>
      <w:marLeft w:val="0"/>
      <w:marRight w:val="0"/>
      <w:marTop w:val="0"/>
      <w:marBottom w:val="0"/>
      <w:divBdr>
        <w:top w:val="none" w:sz="0" w:space="0" w:color="auto"/>
        <w:left w:val="none" w:sz="0" w:space="0" w:color="auto"/>
        <w:bottom w:val="none" w:sz="0" w:space="0" w:color="auto"/>
        <w:right w:val="none" w:sz="0" w:space="0" w:color="auto"/>
      </w:divBdr>
    </w:div>
    <w:div w:id="1110858398">
      <w:bodyDiv w:val="1"/>
      <w:marLeft w:val="0"/>
      <w:marRight w:val="0"/>
      <w:marTop w:val="0"/>
      <w:marBottom w:val="0"/>
      <w:divBdr>
        <w:top w:val="none" w:sz="0" w:space="0" w:color="auto"/>
        <w:left w:val="none" w:sz="0" w:space="0" w:color="auto"/>
        <w:bottom w:val="none" w:sz="0" w:space="0" w:color="auto"/>
        <w:right w:val="none" w:sz="0" w:space="0" w:color="auto"/>
      </w:divBdr>
    </w:div>
    <w:div w:id="1424910931">
      <w:bodyDiv w:val="1"/>
      <w:marLeft w:val="0"/>
      <w:marRight w:val="0"/>
      <w:marTop w:val="0"/>
      <w:marBottom w:val="0"/>
      <w:divBdr>
        <w:top w:val="none" w:sz="0" w:space="0" w:color="auto"/>
        <w:left w:val="none" w:sz="0" w:space="0" w:color="auto"/>
        <w:bottom w:val="none" w:sz="0" w:space="0" w:color="auto"/>
        <w:right w:val="none" w:sz="0" w:space="0" w:color="auto"/>
      </w:divBdr>
    </w:div>
    <w:div w:id="1599483153">
      <w:bodyDiv w:val="1"/>
      <w:marLeft w:val="0"/>
      <w:marRight w:val="0"/>
      <w:marTop w:val="0"/>
      <w:marBottom w:val="0"/>
      <w:divBdr>
        <w:top w:val="none" w:sz="0" w:space="0" w:color="auto"/>
        <w:left w:val="none" w:sz="0" w:space="0" w:color="auto"/>
        <w:bottom w:val="none" w:sz="0" w:space="0" w:color="auto"/>
        <w:right w:val="none" w:sz="0" w:space="0" w:color="auto"/>
      </w:divBdr>
    </w:div>
    <w:div w:id="1699620849">
      <w:bodyDiv w:val="1"/>
      <w:marLeft w:val="0"/>
      <w:marRight w:val="0"/>
      <w:marTop w:val="0"/>
      <w:marBottom w:val="0"/>
      <w:divBdr>
        <w:top w:val="none" w:sz="0" w:space="0" w:color="auto"/>
        <w:left w:val="none" w:sz="0" w:space="0" w:color="auto"/>
        <w:bottom w:val="none" w:sz="0" w:space="0" w:color="auto"/>
        <w:right w:val="none" w:sz="0" w:space="0" w:color="auto"/>
      </w:divBdr>
    </w:div>
    <w:div w:id="1843544040">
      <w:bodyDiv w:val="1"/>
      <w:marLeft w:val="0"/>
      <w:marRight w:val="0"/>
      <w:marTop w:val="0"/>
      <w:marBottom w:val="0"/>
      <w:divBdr>
        <w:top w:val="none" w:sz="0" w:space="0" w:color="auto"/>
        <w:left w:val="none" w:sz="0" w:space="0" w:color="auto"/>
        <w:bottom w:val="none" w:sz="0" w:space="0" w:color="auto"/>
        <w:right w:val="none" w:sz="0" w:space="0" w:color="auto"/>
      </w:divBdr>
    </w:div>
    <w:div w:id="20854518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ur-lex.europa.eu/legal-content/EN/TXT/PDF/?uri=CELEX:32019R0452&amp;from=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rade.ec.europa.eu/doclib/docs/2020/march/tradoc_15867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oe.es/boe/dias/2020/04/01/pdfs/BOE-A-2020-4208.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boe.es/boe/dias/2020/03/18/pdfs/BOE-A-2020-382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6068b9-0f0a-45cb-8291-a85a06addcfc">ZQQUK24ZV7C3-165105434-2158</_dlc_DocId>
    <_dlc_DocIdUrl xmlns="f36068b9-0f0a-45cb-8291-a85a06addcfc">
      <Url>https://euclidlaw.sharepoint.com/ELD/_layouts/15/DocIdRedir.aspx?ID=ZQQUK24ZV7C3-165105434-2158</Url>
      <Description>ZQQUK24ZV7C3-165105434-2158</Description>
    </_dlc_DocIdUrl>
    <TaxKeywordTaxHTField xmlns="f36068b9-0f0a-45cb-8291-a85a06addcfc">
      <Terms xmlns="http://schemas.microsoft.com/office/infopath/2007/PartnerControls"/>
    </TaxKeywordTaxHTField>
    <Category xmlns="0e0535d5-1459-42fa-b85e-1f58eb96184c">Administration</Category>
    <TaxCatchAll xmlns="f36068b9-0f0a-45cb-8291-a85a06addcfc"/>
    <Folder xmlns="0e0535d5-1459-42fa-b85e-1f58eb96184c">Moorgate Office</Fol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Office Template" ma:contentTypeID="0x01010054E06B37688BA747B85810AA4630B29A00AA5AACB157D96D44AA4657AA9EA4D381" ma:contentTypeVersion="11" ma:contentTypeDescription="Create a new document." ma:contentTypeScope="" ma:versionID="2233e8d6453b2d824e9c7e9af9f8c954">
  <xsd:schema xmlns:xsd="http://www.w3.org/2001/XMLSchema" xmlns:xs="http://www.w3.org/2001/XMLSchema" xmlns:p="http://schemas.microsoft.com/office/2006/metadata/properties" xmlns:ns2="f36068b9-0f0a-45cb-8291-a85a06addcfc" xmlns:ns3="0e0535d5-1459-42fa-b85e-1f58eb96184c" targetNamespace="http://schemas.microsoft.com/office/2006/metadata/properties" ma:root="true" ma:fieldsID="14449102fe42d452ebc24c03084ad291" ns2:_="" ns3:_="">
    <xsd:import namespace="f36068b9-0f0a-45cb-8291-a85a06addcfc"/>
    <xsd:import namespace="0e0535d5-1459-42fa-b85e-1f58eb96184c"/>
    <xsd:element name="properties">
      <xsd:complexType>
        <xsd:sequence>
          <xsd:element name="documentManagement">
            <xsd:complexType>
              <xsd:all>
                <xsd:element ref="ns2:TaxKeywordTaxHTField" minOccurs="0"/>
                <xsd:element ref="ns2:TaxCatchAll" minOccurs="0"/>
                <xsd:element ref="ns2:TaxCatchAllLabel" minOccurs="0"/>
                <xsd:element ref="ns3:Category"/>
                <xsd:element ref="ns3:Fol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068b9-0f0a-45cb-8291-a85a06addcfc"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54361282-f436-46ab-bc65-ad49e1e3e1ff}" ma:internalName="TaxCatchAll" ma:showField="CatchAllData"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61282-f436-46ab-bc65-ad49e1e3e1ff}" ma:internalName="TaxCatchAllLabel" ma:readOnly="true" ma:showField="CatchAllDataLabel" ma:web="f36068b9-0f0a-45cb-8291-a85a06addcfc">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e0535d5-1459-42fa-b85e-1f58eb96184c" elementFormDefault="qualified">
    <xsd:import namespace="http://schemas.microsoft.com/office/2006/documentManagement/types"/>
    <xsd:import namespace="http://schemas.microsoft.com/office/infopath/2007/PartnerControls"/>
    <xsd:element name="Category" ma:index="12" ma:displayName="Category" ma:default="Please Select" ma:format="Dropdown" ma:internalName="Category">
      <xsd:simpleType>
        <xsd:restriction base="dms:Choice">
          <xsd:enumeration value="Please Select"/>
          <xsd:enumeration value="Administration"/>
          <xsd:enumeration value="Finance"/>
          <xsd:enumeration value="HR"/>
          <xsd:enumeration value="IT"/>
          <xsd:enumeration value="Know-How"/>
          <xsd:enumeration value="Marketing"/>
        </xsd:restriction>
      </xsd:simpleType>
    </xsd:element>
    <xsd:element name="Folder" ma:index="13" nillable="true" ma:displayName="Folder" ma:default="No Folder Selected" ma:format="Dropdown" ma:hidden="true" ma:internalName="Folder" ma:readOnly="false">
      <xsd:simpleType>
        <xsd:restriction base="dms:Choice">
          <xsd:enumeration value="No Folder Selected"/>
          <xsd:enumeration value="Article 101 / Chapter 1"/>
          <xsd:enumeration value="Article 102 /Chapter 2"/>
          <xsd:enumeration value="Articles"/>
          <xsd:enumeration value="Blogs"/>
          <xsd:enumeration value="Brochures"/>
          <xsd:enumeration value="Brussels Bar"/>
          <xsd:enumeration value="Brussels Office"/>
          <xsd:enumeration value="Business Development"/>
          <xsd:enumeration value="Client Contact Database"/>
          <xsd:enumeration value="Compliance"/>
          <xsd:enumeration value="Consultants"/>
          <xsd:enumeration value="CV &amp; Applications"/>
          <xsd:enumeration value="Cybersecurity"/>
          <xsd:enumeration value="Employment Contracts"/>
          <xsd:enumeration value="Governance"/>
          <xsd:enumeration value="Holidays"/>
          <xsd:enumeration value="IP and Competition Law"/>
          <xsd:enumeration value="Irish Bar"/>
          <xsd:enumeration value="Legal databases"/>
          <xsd:enumeration value="Legal Directories Submissions"/>
          <xsd:enumeration value="Medical"/>
          <xsd:enumeration value="Memberships"/>
          <xsd:enumeration value="Moorgate Office"/>
          <xsd:enumeration value="News"/>
          <xsd:enumeration value="Office Suppliers"/>
          <xsd:enumeration value="Pensions"/>
          <xsd:enumeration value="PI Insurance"/>
          <xsd:enumeration value="Pitches"/>
          <xsd:enumeration value="Profile Pictures"/>
          <xsd:enumeration value="Sevenoaks Office"/>
          <xsd:enumeration value="SRA"/>
          <xsd:enumeration value="Staff Handbook &amp; Policies"/>
          <xsd:enumeration value="Vertical"/>
          <xsd:enumeration value="Websi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7B560EB-1DAD-466B-9A9D-FCC13C16D812}">
  <ds:schemaRefs>
    <ds:schemaRef ds:uri="http://schemas.microsoft.com/office/2006/metadata/properties"/>
    <ds:schemaRef ds:uri="http://schemas.microsoft.com/office/infopath/2007/PartnerControls"/>
    <ds:schemaRef ds:uri="f36068b9-0f0a-45cb-8291-a85a06addcfc"/>
    <ds:schemaRef ds:uri="0e0535d5-1459-42fa-b85e-1f58eb96184c"/>
  </ds:schemaRefs>
</ds:datastoreItem>
</file>

<file path=customXml/itemProps2.xml><?xml version="1.0" encoding="utf-8"?>
<ds:datastoreItem xmlns:ds="http://schemas.openxmlformats.org/officeDocument/2006/customXml" ds:itemID="{AD0595D6-C6CC-4452-9BF7-12629F672F1D}">
  <ds:schemaRefs>
    <ds:schemaRef ds:uri="http://schemas.microsoft.com/sharepoint/v3/contenttype/forms"/>
  </ds:schemaRefs>
</ds:datastoreItem>
</file>

<file path=customXml/itemProps3.xml><?xml version="1.0" encoding="utf-8"?>
<ds:datastoreItem xmlns:ds="http://schemas.openxmlformats.org/officeDocument/2006/customXml" ds:itemID="{E11FD342-A6F9-964D-AA86-FDE4E767E592}">
  <ds:schemaRefs>
    <ds:schemaRef ds:uri="http://schemas.openxmlformats.org/officeDocument/2006/bibliography"/>
  </ds:schemaRefs>
</ds:datastoreItem>
</file>

<file path=customXml/itemProps4.xml><?xml version="1.0" encoding="utf-8"?>
<ds:datastoreItem xmlns:ds="http://schemas.openxmlformats.org/officeDocument/2006/customXml" ds:itemID="{5F356AB6-B3EF-4940-B6B4-5F6E43D5C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068b9-0f0a-45cb-8291-a85a06addcfc"/>
    <ds:schemaRef ds:uri="0e0535d5-1459-42fa-b85e-1f58eb961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59C09D-83F4-42B0-AF19-59F718E3FD5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1487</Words>
  <Characters>8479</Characters>
  <Application>Microsoft Office Word</Application>
  <DocSecurity>0</DocSecurity>
  <Lines>70</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Euclid Memo</vt:lpstr>
      <vt:lpstr>Euclid Memo</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Euclid Memo</dc:title>
  <dc:subject/>
  <dc:creator>Microsoft Office User</dc:creator>
  <cp:keywords/>
  <dc:description/>
  <cp:lastModifiedBy>Daniele Pinto</cp:lastModifiedBy>
  <cp:revision>4</cp:revision>
  <dcterms:created xsi:type="dcterms:W3CDTF">2020-04-09T11:09:00Z</dcterms:created>
  <dcterms:modified xsi:type="dcterms:W3CDTF">2020-04-09T13:39:00Z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0x01010054E06B37688BA747B85810AA4630B29A00AA5AACB157D96D44AA4657AA9EA4D381</vt:lpwstr>
  </property>
  <property fmtid="{D5CDD505-2E9C-101B-9397-08002B2CF9AE}" pid="3" name="_dlc_DocIdItemGuid">
    <vt:lpwstr>3fc541c8-0f5c-4552-a4f9-812409d8cd0c</vt:lpwstr>
  </property>
  <property fmtid="{D5CDD505-2E9C-101B-9397-08002B2CF9AE}" pid="4" name="TaxKeyword">
    <vt:lpwstr/>
  </property>
  <property fmtid="{D5CDD505-2E9C-101B-9397-08002B2CF9AE}" pid="5" name="AuthorIds_UIVersion_6144">
    <vt:lpwstr>228</vt:lpwstr>
  </property>
</Properties>
</file>